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055F1C">
      <w:pPr>
        <w:pStyle w:val="6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eastAsia="宋体"/>
          <w:b/>
          <w:sz w:val="24"/>
          <w:szCs w:val="24"/>
          <w:highlight w:val="none"/>
          <w:lang w:val="en-US" w:eastAsia="zh-CN"/>
        </w:rPr>
      </w:pPr>
      <w:bookmarkStart w:id="0" w:name="OLE_LINK11"/>
      <w:bookmarkStart w:id="1" w:name="OLE_LINK12"/>
      <w:r>
        <w:rPr>
          <w:b/>
          <w:sz w:val="24"/>
          <w:szCs w:val="24"/>
          <w:highlight w:val="none"/>
        </w:rPr>
        <w:t xml:space="preserve">3GPP TSG-RAN WG4 Meeting </w:t>
      </w:r>
      <w:r>
        <w:rPr>
          <w:rFonts w:hint="eastAsia"/>
          <w:b/>
          <w:sz w:val="24"/>
          <w:szCs w:val="24"/>
          <w:highlight w:val="none"/>
        </w:rPr>
        <w:t>#</w:t>
      </w:r>
      <w:r>
        <w:rPr>
          <w:b/>
          <w:sz w:val="24"/>
          <w:szCs w:val="24"/>
          <w:highlight w:val="none"/>
        </w:rPr>
        <w:t>1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17</w:t>
      </w:r>
      <w:r>
        <w:rPr>
          <w:rFonts w:hint="eastAsia"/>
          <w:b/>
          <w:sz w:val="24"/>
          <w:szCs w:val="24"/>
          <w:highlight w:val="none"/>
        </w:rPr>
        <w:t xml:space="preserve">                           </w:t>
      </w:r>
      <w:r>
        <w:rPr>
          <w:b/>
          <w:sz w:val="24"/>
          <w:szCs w:val="24"/>
          <w:highlight w:val="none"/>
        </w:rPr>
        <w:t xml:space="preserve">   R4-2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520456</w:t>
      </w:r>
      <w:r>
        <w:rPr>
          <w:b/>
          <w:sz w:val="24"/>
          <w:szCs w:val="24"/>
          <w:highlight w:val="none"/>
        </w:rPr>
        <w:t xml:space="preserve">                      </w:t>
      </w:r>
    </w:p>
    <w:bookmarkEnd w:id="0"/>
    <w:bookmarkEnd w:id="1"/>
    <w:p w14:paraId="5C25862B">
      <w:pPr>
        <w:pStyle w:val="6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ascii="Times New Roman" w:hAnsi="Times New Roman" w:cs="Times New Roman"/>
          <w:b/>
          <w:sz w:val="24"/>
          <w:szCs w:val="24"/>
          <w:highlight w:val="cyan"/>
        </w:rPr>
      </w:pPr>
      <w:r>
        <w:rPr>
          <w:b/>
          <w:sz w:val="24"/>
          <w:szCs w:val="24"/>
          <w:highlight w:val="none"/>
          <w:lang w:eastAsia="zh-CN"/>
        </w:rPr>
        <w:t>Dallas, USA, Nov. 17-21</w:t>
      </w:r>
      <w:r>
        <w:rPr>
          <w:rFonts w:hint="default" w:ascii="Times New Roman" w:hAnsi="Times New Roman" w:eastAsia="宋体" w:cs="Times New Roman"/>
          <w:b/>
          <w:sz w:val="24"/>
          <w:szCs w:val="24"/>
          <w:lang w:eastAsia="zh-CN"/>
        </w:rPr>
        <w:t>,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</w:rPr>
        <w:t>2025</w:t>
      </w:r>
    </w:p>
    <w:p w14:paraId="7103F181">
      <w:pPr>
        <w:tabs>
          <w:tab w:val="left" w:pos="1985"/>
        </w:tabs>
        <w:rPr>
          <w:rFonts w:ascii="Times New Roman" w:hAnsi="Times New Roman"/>
          <w:b/>
          <w:sz w:val="22"/>
          <w:highlight w:val="none"/>
        </w:rPr>
      </w:pPr>
    </w:p>
    <w:p w14:paraId="37F44CB1">
      <w:pPr>
        <w:tabs>
          <w:tab w:val="left" w:pos="1765"/>
        </w:tabs>
        <w:rPr>
          <w:rFonts w:hint="eastAsia" w:ascii="Times New Roman" w:hAnsi="Times New Roman" w:eastAsia="宋体"/>
          <w:b/>
          <w:sz w:val="22"/>
          <w:highlight w:val="none"/>
          <w:lang w:eastAsia="zh-CN"/>
        </w:rPr>
      </w:pPr>
      <w:r>
        <w:rPr>
          <w:rFonts w:ascii="Times New Roman" w:hAnsi="Times New Roman"/>
          <w:b/>
          <w:sz w:val="22"/>
          <w:highlight w:val="none"/>
        </w:rPr>
        <w:t>Agenda Item: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6</w:t>
      </w:r>
      <w:r>
        <w:rPr>
          <w:rFonts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11</w:t>
      </w:r>
      <w:r>
        <w:rPr>
          <w:rFonts w:hint="eastAsia"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6</w:t>
      </w:r>
    </w:p>
    <w:p w14:paraId="7891286E">
      <w:pPr>
        <w:tabs>
          <w:tab w:val="left" w:pos="1765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</w:rPr>
        <w:t xml:space="preserve">Source: 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CMCC</w:t>
      </w:r>
    </w:p>
    <w:p w14:paraId="6448A15B">
      <w:pPr>
        <w:rPr>
          <w:rFonts w:hint="default" w:ascii="Times New Roman" w:hAnsi="Times New Roman" w:eastAsia="宋体"/>
          <w:sz w:val="22"/>
          <w:lang w:val="en-US" w:eastAsia="zh-CN"/>
        </w:rPr>
      </w:pPr>
      <w:r>
        <w:rPr>
          <w:rFonts w:ascii="Times New Roman" w:hAnsi="Times New Roman"/>
          <w:b/>
          <w:sz w:val="22"/>
        </w:rPr>
        <w:t xml:space="preserve">Title: 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 xml:space="preserve"> </w:t>
      </w:r>
      <w:bookmarkStart w:id="2" w:name="OLE_LINK23"/>
      <w:bookmarkStart w:id="3" w:name="OLE_LINK24"/>
      <w:bookmarkStart w:id="4" w:name="OLE_LINK7"/>
      <w:bookmarkStart w:id="5" w:name="OLE_LINK8"/>
      <w:r>
        <w:rPr>
          <w:rFonts w:ascii="Times New Roman" w:hAnsi="Times New Roman"/>
          <w:sz w:val="22"/>
        </w:rPr>
        <w:t>D</w:t>
      </w:r>
      <w:r>
        <w:rPr>
          <w:rFonts w:hint="eastAsia" w:ascii="Times New Roman" w:hAnsi="Times New Roman"/>
          <w:sz w:val="22"/>
        </w:rPr>
        <w:t xml:space="preserve">iscussion on </w:t>
      </w:r>
      <w:bookmarkEnd w:id="2"/>
      <w:bookmarkEnd w:id="3"/>
      <w:r>
        <w:rPr>
          <w:rFonts w:hint="eastAsia" w:ascii="Times New Roman" w:hAnsi="Times New Roman"/>
          <w:sz w:val="22"/>
          <w:lang w:val="en-US" w:eastAsia="zh-CN"/>
        </w:rPr>
        <w:t>RRM performance requirements for beam management</w:t>
      </w:r>
    </w:p>
    <w:bookmarkEnd w:id="4"/>
    <w:bookmarkEnd w:id="5"/>
    <w:p w14:paraId="7B501149">
      <w:pPr>
        <w:tabs>
          <w:tab w:val="left" w:pos="1765"/>
        </w:tabs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Document for: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Discussion</w:t>
      </w:r>
      <w:r>
        <w:rPr>
          <w:rFonts w:hint="eastAsia" w:ascii="Times New Roman" w:hAnsi="Times New Roman"/>
          <w:sz w:val="22"/>
        </w:rPr>
        <w:t xml:space="preserve"> </w:t>
      </w:r>
    </w:p>
    <w:p w14:paraId="2DEF85FE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65582888">
      <w:pPr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RAN #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102</w:t>
      </w:r>
      <w:r>
        <w:rPr>
          <w:rFonts w:ascii="Times New Roman" w:hAnsi="Times New Roman"/>
          <w:sz w:val="20"/>
          <w:szCs w:val="20"/>
        </w:rPr>
        <w:t xml:space="preserve"> meeting, </w:t>
      </w:r>
      <w:r>
        <w:rPr>
          <w:rFonts w:hint="eastAsia" w:ascii="Times New Roman" w:hAnsi="Times New Roman"/>
          <w:sz w:val="20"/>
          <w:szCs w:val="20"/>
        </w:rPr>
        <w:t>the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W</w:t>
      </w:r>
      <w:r>
        <w:rPr>
          <w:rFonts w:ascii="Times New Roman" w:hAnsi="Times New Roman"/>
          <w:sz w:val="20"/>
          <w:szCs w:val="20"/>
        </w:rPr>
        <w:t>ID on Artificial Intelligence (AI)/Machine Learning (ML) for NR Air Interface was approved [1]. In RAN #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106</w:t>
      </w:r>
      <w:r>
        <w:rPr>
          <w:rFonts w:ascii="Times New Roman" w:hAnsi="Times New Roman"/>
          <w:sz w:val="20"/>
          <w:szCs w:val="20"/>
        </w:rPr>
        <w:t xml:space="preserve"> meeting, </w:t>
      </w:r>
      <w:r>
        <w:rPr>
          <w:rFonts w:hint="eastAsia" w:ascii="Times New Roman" w:hAnsi="Times New Roman"/>
          <w:sz w:val="20"/>
          <w:szCs w:val="20"/>
        </w:rPr>
        <w:t>the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revised W</w:t>
      </w:r>
      <w:r>
        <w:rPr>
          <w:rFonts w:ascii="Times New Roman" w:hAnsi="Times New Roman"/>
          <w:sz w:val="20"/>
          <w:szCs w:val="20"/>
        </w:rPr>
        <w:t>ID on Artificial Intelligence (AI)/Machine Learning (ML) for NR Air Interface was approved [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2</w:t>
      </w:r>
      <w:r>
        <w:rPr>
          <w:rFonts w:ascii="Times New Roman" w:hAnsi="Times New Roman"/>
          <w:sz w:val="20"/>
          <w:szCs w:val="20"/>
        </w:rPr>
        <w:t>].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/>
          <w:sz w:val="20"/>
          <w:szCs w:val="20"/>
        </w:rPr>
        <w:t>The objectives for RAN4 are duplicated as following.</w:t>
      </w:r>
    </w:p>
    <w:tbl>
      <w:tblPr>
        <w:tblStyle w:val="7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0"/>
      </w:tblGrid>
      <w:tr w14:paraId="45D3F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0" w:type="dxa"/>
            <w:noWrap w:val="0"/>
            <w:vAlign w:val="top"/>
          </w:tcPr>
          <w:p w14:paraId="0AF519BD">
            <w:pPr>
              <w:numPr>
                <w:ilvl w:val="0"/>
                <w:numId w:val="4"/>
              </w:numPr>
              <w:spacing w:after="0"/>
              <w:ind w:left="300" w:leftChars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 xml:space="preserve">Core requirements for 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 xml:space="preserve">the above two use cases for AI/ML </w:t>
            </w: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LCM procedures and UE features [RAN4]:</w:t>
            </w:r>
          </w:p>
          <w:p w14:paraId="65691B28">
            <w:pPr>
              <w:numPr>
                <w:ilvl w:val="1"/>
                <w:numId w:val="4"/>
              </w:numPr>
              <w:spacing w:after="0"/>
              <w:ind w:left="1020" w:leftChars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Specify necessary RAN4 core requirements for the above three use cases. This includes the test setup and methodology for the beam management use case.</w:t>
            </w:r>
          </w:p>
          <w:p w14:paraId="11C0CB2D">
            <w:pPr>
              <w:numPr>
                <w:ilvl w:val="1"/>
                <w:numId w:val="4"/>
              </w:numPr>
              <w:spacing w:after="0"/>
              <w:ind w:left="1020" w:leftChars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Specify necessary RAN4 core requirements for LCM procedures including performance monitoring.</w:t>
            </w:r>
          </w:p>
          <w:p w14:paraId="347D2E4C">
            <w:pPr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0" w:line="259" w:lineRule="auto"/>
              <w:contextualSpacing/>
              <w:textAlignment w:val="auto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75C4B1C6">
      <w:pPr>
        <w:spacing w:before="180" w:after="180" w:line="240" w:lineRule="exact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In last meeting, there is discussion on Artificial Intelligence (AI)/Machine Learning (ML) for NR Air Interface, and a WF was approved [3]. 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hint="eastAsia" w:ascii="Times New Roman" w:hAnsi="Times New Roman"/>
          <w:sz w:val="20"/>
          <w:szCs w:val="20"/>
        </w:rPr>
        <w:t xml:space="preserve">his contribution provides discussion on RRM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performance </w:t>
      </w:r>
      <w:r>
        <w:rPr>
          <w:rFonts w:hint="eastAsia" w:ascii="Times New Roman" w:hAnsi="Times New Roman"/>
          <w:sz w:val="20"/>
          <w:szCs w:val="20"/>
        </w:rPr>
        <w:t>requirements for beam management.</w:t>
      </w:r>
    </w:p>
    <w:p w14:paraId="0B27DD74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hint="eastAsia" w:ascii="Times New Roman" w:hAnsi="Times New Roman"/>
          <w:b w:val="0"/>
          <w:bCs w:val="0"/>
          <w:kern w:val="0"/>
          <w:sz w:val="36"/>
          <w:szCs w:val="36"/>
          <w:lang w:eastAsia="zh-CN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 xml:space="preserve">Discussion </w:t>
      </w:r>
      <w:bookmarkStart w:id="6" w:name="OLE_LINK2"/>
      <w:bookmarkStart w:id="7" w:name="OLE_LINK1"/>
      <w:r>
        <w:rPr>
          <w:rFonts w:ascii="Times New Roman" w:hAnsi="Times New Roman"/>
          <w:i/>
          <w:sz w:val="20"/>
          <w:szCs w:val="20"/>
        </w:rPr>
        <w:t xml:space="preserve"> </w:t>
      </w:r>
    </w:p>
    <w:p w14:paraId="366D68D4">
      <w:pPr>
        <w:spacing w:after="180" w:line="240" w:lineRule="exact"/>
        <w:rPr>
          <w:rFonts w:hint="default" w:ascii="Times New Roman" w:hAnsi="Times New Roman" w:eastAsia="游明朝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For the target for </w:t>
      </w:r>
      <w:r>
        <w:rPr>
          <w:rFonts w:hint="default" w:ascii="Times New Roman" w:hAnsi="Times New Roman" w:eastAsia="游明朝" w:cs="Times New Roman"/>
          <w:sz w:val="20"/>
          <w:szCs w:val="20"/>
          <w:lang w:eastAsia="zh-CN"/>
        </w:rPr>
        <w:t>AI/ML based beam management</w:t>
      </w:r>
      <w:r>
        <w:rPr>
          <w:rFonts w:hint="eastAsia" w:ascii="Times New Roman" w:hAnsi="Times New Roman" w:eastAsia="游明朝" w:cs="Times New Roman"/>
          <w:sz w:val="20"/>
          <w:szCs w:val="20"/>
          <w:lang w:val="en-US" w:eastAsia="zh-CN"/>
        </w:rPr>
        <w:t xml:space="preserve">, our view is that </w:t>
      </w:r>
      <w:r>
        <w:rPr>
          <w:rFonts w:hint="default" w:ascii="Times New Roman" w:hAnsi="Times New Roman" w:eastAsia="游明朝" w:cs="Times New Roman"/>
          <w:sz w:val="20"/>
          <w:szCs w:val="20"/>
          <w:lang w:eastAsia="zh-CN"/>
        </w:rPr>
        <w:t>AI/ML based performance requirement should not be worse than the legacy</w:t>
      </w:r>
      <w:r>
        <w:rPr>
          <w:rFonts w:hint="eastAsia" w:ascii="Times New Roman" w:hAnsi="Times New Roman" w:eastAsia="游明朝" w:cs="Times New Roman"/>
          <w:sz w:val="20"/>
          <w:szCs w:val="20"/>
          <w:lang w:val="en-US" w:eastAsia="zh-CN"/>
        </w:rPr>
        <w:t xml:space="preserve">. According to the discussion in previous meetings, some companies mentioned that the </w:t>
      </w:r>
      <w:r>
        <w:rPr>
          <w:rFonts w:hint="default" w:ascii="Times New Roman" w:hAnsi="Times New Roman" w:eastAsia="游明朝" w:cs="Times New Roman"/>
          <w:sz w:val="20"/>
          <w:szCs w:val="20"/>
          <w:lang w:eastAsia="zh-CN"/>
        </w:rPr>
        <w:t>AI/ML based performance</w:t>
      </w:r>
      <w:r>
        <w:rPr>
          <w:rFonts w:hint="eastAsia" w:ascii="Times New Roman" w:hAnsi="Times New Roman" w:eastAsia="游明朝" w:cs="Times New Roman"/>
          <w:sz w:val="20"/>
          <w:szCs w:val="20"/>
          <w:lang w:val="en-US" w:eastAsia="zh-CN"/>
        </w:rPr>
        <w:t xml:space="preserve"> will</w:t>
      </w:r>
      <w:r>
        <w:rPr>
          <w:rFonts w:hint="default" w:ascii="Times New Roman" w:hAnsi="Times New Roman" w:eastAsia="游明朝" w:cs="Times New Roman"/>
          <w:sz w:val="20"/>
          <w:szCs w:val="20"/>
          <w:lang w:eastAsia="zh-CN"/>
        </w:rPr>
        <w:t xml:space="preserve"> be worse than the legacy</w:t>
      </w:r>
      <w:r>
        <w:rPr>
          <w:rFonts w:hint="eastAsia" w:ascii="Times New Roman" w:hAnsi="Times New Roman" w:eastAsia="游明朝" w:cs="Times New Roman"/>
          <w:sz w:val="20"/>
          <w:szCs w:val="20"/>
          <w:lang w:val="en-US" w:eastAsia="zh-CN"/>
        </w:rPr>
        <w:t xml:space="preserve">, since the gain come from overhead reduction. From operator point of view, we do not think that this is a good way to go. If the predicted results are worse than the legacy measured results, it will have impact on the already deployed network, which is not preferred. </w:t>
      </w:r>
    </w:p>
    <w:p w14:paraId="2D1A0915">
      <w:pPr>
        <w:spacing w:after="180" w:line="240" w:lineRule="exact"/>
        <w:rPr>
          <w:rFonts w:hint="eastAsia"/>
          <w:lang w:eastAsia="zh-CN"/>
        </w:rPr>
      </w:pPr>
      <w:r>
        <w:rPr>
          <w:rFonts w:hint="eastAsia" w:ascii="Times New Roman" w:hAnsi="Times New Roman" w:eastAsia="游明朝" w:cs="Times New Roman"/>
          <w:b/>
          <w:bCs/>
          <w:i/>
          <w:iCs/>
          <w:sz w:val="20"/>
          <w:szCs w:val="20"/>
          <w:lang w:val="en-US" w:eastAsia="zh-CN"/>
        </w:rPr>
        <w:t xml:space="preserve">Proposal 1: For RSRP accuracy for </w:t>
      </w:r>
      <w:r>
        <w:rPr>
          <w:rFonts w:hint="default" w:ascii="Times New Roman" w:hAnsi="Times New Roman" w:eastAsia="游明朝" w:cs="Times New Roman"/>
          <w:b/>
          <w:bCs/>
          <w:i/>
          <w:iCs/>
          <w:sz w:val="20"/>
          <w:szCs w:val="20"/>
          <w:lang w:eastAsia="zh-CN"/>
        </w:rPr>
        <w:t>AI/ML based beam management</w:t>
      </w:r>
      <w:r>
        <w:rPr>
          <w:rFonts w:hint="eastAsia" w:ascii="Times New Roman" w:hAnsi="Times New Roman" w:eastAsia="游明朝" w:cs="Times New Roman"/>
          <w:b/>
          <w:bCs/>
          <w:i/>
          <w:iCs/>
          <w:sz w:val="20"/>
          <w:szCs w:val="20"/>
          <w:lang w:val="en-US" w:eastAsia="zh-CN"/>
        </w:rPr>
        <w:t xml:space="preserve">, it is proposed that AI/ML based performance requirement should be no worse than the legacy measurement accuracy requirements.    </w:t>
      </w:r>
    </w:p>
    <w:tbl>
      <w:tblPr>
        <w:tblStyle w:val="8"/>
        <w:tblpPr w:leftFromText="180" w:rightFromText="180" w:vertAnchor="text" w:horzAnchor="page" w:tblpX="1793" w:tblpY="41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7ADAB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3307BC06">
            <w:pPr>
              <w:spacing w:after="180" w:line="240" w:lineRule="exact"/>
              <w:rPr>
                <w:rFonts w:hint="default" w:ascii="Times New Roman" w:hAnsi="Times New Roman" w:eastAsia="等线" w:cs="Times New Roman"/>
                <w:b/>
                <w:bCs w:val="0"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 w:val="0"/>
                <w:iCs/>
                <w:sz w:val="20"/>
                <w:szCs w:val="20"/>
                <w:vertAlign w:val="baseline"/>
                <w:lang w:val="en-US" w:eastAsia="zh-CN"/>
              </w:rPr>
              <w:t>RAN1 agreements in RAN1#120 meeting</w:t>
            </w:r>
          </w:p>
          <w:p w14:paraId="337C09B9">
            <w:pPr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4CE39554">
            <w:pPr>
              <w:ind w:left="0" w:firstLine="0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F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 xml:space="preserve">or report content of inference results for UE-sided model,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where the largest RSRP value is quantized to a 7-bit value in the range [-140, -44] dBm with 1dB step size, and the differential RSRP is quantized to a 4-bit value with 2 dB step size.</w:t>
            </w:r>
          </w:p>
          <w:p w14:paraId="28E726E3">
            <w:pPr>
              <w:suppressAutoHyphens/>
              <w:overflowPunct w:val="0"/>
              <w:autoSpaceDE w:val="0"/>
              <w:spacing w:before="120" w:after="120"/>
              <w:ind w:left="0" w:firstLine="0"/>
              <w:jc w:val="both"/>
              <w:textAlignment w:val="baseline"/>
              <w:rPr>
                <w:rFonts w:hint="default"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 xml:space="preserve">Note: the model output is UE implementation and it doesn’t have to be RSRP subject to dBm value. </w:t>
            </w:r>
          </w:p>
          <w:p w14:paraId="28434518">
            <w:pPr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</w:p>
          <w:p w14:paraId="68D5F63E">
            <w:pPr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46D66AF2">
            <w:pPr>
              <w:tabs>
                <w:tab w:val="left" w:pos="720"/>
              </w:tabs>
              <w:ind w:left="0" w:firstLine="0"/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>For report content of inference results for UE-sided model for BM-Case 1, the RSRP of predicted beam(s)in the report of inference results, is the predicted RSRP, where the predicted RSRP is based on AI/ML output.</w:t>
            </w:r>
          </w:p>
          <w:p w14:paraId="52F6F86B">
            <w:pPr>
              <w:ind w:left="0"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Note: how to capture it in the spec is a separate discussion. </w:t>
            </w:r>
          </w:p>
          <w:p w14:paraId="220AD0AD">
            <w:pPr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</w:p>
          <w:p w14:paraId="4A08F513">
            <w:pPr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</w:p>
          <w:p w14:paraId="60CE8AB3">
            <w:pPr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6FC86C2B">
            <w:pPr>
              <w:spacing w:after="120"/>
              <w:ind w:left="0" w:firstLine="0"/>
              <w:jc w:val="both"/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 xml:space="preserve">For UE-side AI/ML model inference and BM-Case2, 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>for the quantization of a RSRP value of inference results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 xml:space="preserve"> in a report over multiple future time instances, </w:t>
            </w:r>
          </w:p>
          <w:p w14:paraId="5FEADE7C">
            <w:pPr>
              <w:numPr>
                <w:ilvl w:val="0"/>
                <w:numId w:val="5"/>
              </w:numPr>
              <w:spacing w:after="120"/>
              <w:jc w:val="both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 xml:space="preserve">the largest RSRP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value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 xml:space="preserve"> based on prediction of all time instances is the 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highlight w:val="none"/>
                <w:lang w:eastAsia="zh-CN"/>
              </w:rPr>
              <w:t xml:space="preserve">reference RSRP, and differential RSRPs in the report are computed relative to the 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 xml:space="preserve">reference RSRP. </w:t>
            </w:r>
          </w:p>
          <w:p w14:paraId="4B20F3FC">
            <w:pPr>
              <w:numPr>
                <w:ilvl w:val="1"/>
                <w:numId w:val="5"/>
              </w:numPr>
              <w:spacing w:after="120"/>
              <w:jc w:val="both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 xml:space="preserve">The time instance information of the beam with the largest RSRP are additionally indicated in the report. </w:t>
            </w:r>
          </w:p>
        </w:tc>
      </w:tr>
    </w:tbl>
    <w:p w14:paraId="6B95B52E">
      <w:pPr>
        <w:spacing w:after="180" w:line="240" w:lineRule="exact"/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</w:pPr>
    </w:p>
    <w:p w14:paraId="2102A953">
      <w:pPr>
        <w:spacing w:after="180" w:line="240" w:lineRule="exact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等线" w:cs="Times New Roman"/>
          <w:sz w:val="20"/>
          <w:szCs w:val="20"/>
          <w:lang w:eastAsia="zh-CN"/>
        </w:rPr>
        <w:t>F</w:t>
      </w:r>
      <w:r>
        <w:rPr>
          <w:rFonts w:hint="default" w:ascii="Times New Roman" w:hAnsi="Times New Roman" w:eastAsia="Times New Roman" w:cs="Times New Roman"/>
          <w:sz w:val="20"/>
          <w:szCs w:val="20"/>
          <w:lang w:eastAsia="zh-CN"/>
        </w:rPr>
        <w:t xml:space="preserve">or </w:t>
      </w:r>
      <w:r>
        <w:rPr>
          <w:rFonts w:hint="eastAsia" w:ascii="Times New Roman" w:hAnsi="Times New Roman" w:eastAsia="Times New Roman" w:cs="Times New Roman"/>
          <w:sz w:val="20"/>
          <w:szCs w:val="20"/>
          <w:lang w:val="en-US" w:eastAsia="zh-CN"/>
        </w:rPr>
        <w:t xml:space="preserve">beam management, RAN1 agreed the </w:t>
      </w:r>
      <w:r>
        <w:rPr>
          <w:rFonts w:hint="default" w:ascii="Times New Roman" w:hAnsi="Times New Roman" w:eastAsia="Times New Roman" w:cs="Times New Roman"/>
          <w:sz w:val="20"/>
          <w:szCs w:val="20"/>
          <w:lang w:eastAsia="zh-CN"/>
        </w:rPr>
        <w:t>report content of inference results for UE-sided model</w:t>
      </w:r>
      <w:r>
        <w:rPr>
          <w:rFonts w:hint="eastAsia" w:ascii="Times New Roman" w:hAnsi="Times New Roman" w:eastAsia="Times New Roman" w:cs="Times New Roman"/>
          <w:sz w:val="20"/>
          <w:szCs w:val="20"/>
          <w:lang w:val="en-US" w:eastAsia="zh-CN"/>
        </w:rPr>
        <w:t xml:space="preserve">.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T</w:t>
      </w:r>
      <w:r>
        <w:rPr>
          <w:rFonts w:hint="default" w:ascii="Times New Roman" w:hAnsi="Times New Roman" w:cs="Times New Roman"/>
          <w:sz w:val="20"/>
          <w:szCs w:val="20"/>
        </w:rPr>
        <w:t>he largest RSRP value is quantized to a 7-bit value in the range [-140, -44] dBm with 1dB step size, and the differential RSRP is quantized to a 4-bit value with 2 dB step size.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</w:t>
      </w:r>
    </w:p>
    <w:p w14:paraId="72DD3765">
      <w:pPr>
        <w:spacing w:after="180" w:line="240" w:lineRule="exact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The legacy RSRP measurement report mapping table is defined in RAN4, which are duplicated as following. In legacy, the reporting range of SS-RSRP for L1 reporting is defined from -140 to -44 dBm with 1 dB resolution. And the reporting range of differential SS-RSRP for L1 reporting is defined from 0 dB to -30 dB with 2 dB resolution. It can be seen that RAN1 design on </w:t>
      </w:r>
      <w:r>
        <w:rPr>
          <w:rFonts w:hint="eastAsia" w:ascii="Times New Roman" w:hAnsi="Times New Roman" w:eastAsia="Times New Roman" w:cs="Times New Roman"/>
          <w:sz w:val="20"/>
          <w:szCs w:val="20"/>
          <w:lang w:val="en-US" w:eastAsia="zh-CN"/>
        </w:rPr>
        <w:t xml:space="preserve">the </w:t>
      </w:r>
      <w:r>
        <w:rPr>
          <w:rFonts w:hint="default" w:ascii="Times New Roman" w:hAnsi="Times New Roman" w:eastAsia="Times New Roman" w:cs="Times New Roman"/>
          <w:sz w:val="20"/>
          <w:szCs w:val="20"/>
          <w:lang w:eastAsia="zh-CN"/>
        </w:rPr>
        <w:t>report content of inference results</w:t>
      </w:r>
      <w:r>
        <w:rPr>
          <w:rFonts w:hint="eastAsia" w:ascii="Times New Roman" w:hAnsi="Times New Roman" w:eastAsia="Times New Roman" w:cs="Times New Roman"/>
          <w:sz w:val="20"/>
          <w:szCs w:val="20"/>
          <w:lang w:val="en-US" w:eastAsia="zh-CN"/>
        </w:rPr>
        <w:t xml:space="preserve"> is alligned with legacy L1 measurement report, which means that legacy L1 report mapping table can be reused for the report of </w:t>
      </w:r>
      <w:r>
        <w:rPr>
          <w:rFonts w:hint="default" w:ascii="Times New Roman" w:hAnsi="Times New Roman" w:eastAsia="Times New Roman" w:cs="Times New Roman"/>
          <w:sz w:val="20"/>
          <w:szCs w:val="20"/>
          <w:lang w:eastAsia="zh-CN"/>
        </w:rPr>
        <w:t>inference results</w:t>
      </w:r>
      <w:r>
        <w:rPr>
          <w:rFonts w:hint="eastAsia" w:ascii="Times New Roman" w:hAnsi="Times New Roman" w:eastAsia="Times New Roman" w:cs="Times New Roman"/>
          <w:sz w:val="20"/>
          <w:szCs w:val="20"/>
          <w:lang w:val="en-US" w:eastAsia="zh-CN"/>
        </w:rPr>
        <w:t>. However, the lagacy report mapping is for measured RSRP, some wording update to cover predicted RSRP is necessary.</w:t>
      </w:r>
    </w:p>
    <w:p w14:paraId="6946765C">
      <w:pPr>
        <w:pStyle w:val="1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rPr>
          <w:rFonts w:hint="default" w:eastAsia="宋体"/>
          <w:sz w:val="22"/>
          <w:szCs w:val="22"/>
          <w:lang w:val="en-US" w:eastAsia="zh-CN"/>
        </w:rPr>
      </w:pPr>
      <w:r>
        <w:rPr>
          <w:sz w:val="22"/>
          <w:szCs w:val="22"/>
        </w:rPr>
        <w:t>Table 10.1.6.1-1: SS-RSRP and CSI-RSRP measurement report mapping</w:t>
      </w:r>
      <w:r>
        <w:rPr>
          <w:rFonts w:hint="eastAsia"/>
          <w:sz w:val="22"/>
          <w:szCs w:val="22"/>
          <w:lang w:val="en-US" w:eastAsia="zh-CN"/>
        </w:rPr>
        <w:t xml:space="preserve"> (TS 38.133)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44"/>
        <w:gridCol w:w="2907"/>
        <w:gridCol w:w="3056"/>
        <w:gridCol w:w="1044"/>
      </w:tblGrid>
      <w:tr w14:paraId="25AB6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12" w:type="pct"/>
            <w:shd w:val="clear" w:color="auto" w:fill="auto"/>
            <w:noWrap/>
          </w:tcPr>
          <w:p w14:paraId="4F37A6B9">
            <w:pPr>
              <w:pStyle w:val="14"/>
              <w:rPr>
                <w:lang w:eastAsia="ko-KR"/>
              </w:rPr>
            </w:pPr>
            <w:r>
              <w:rPr>
                <w:lang w:eastAsia="ko-KR"/>
              </w:rPr>
              <w:t>Reported value</w:t>
            </w:r>
          </w:p>
        </w:tc>
        <w:tc>
          <w:tcPr>
            <w:tcW w:w="1578" w:type="pct"/>
            <w:shd w:val="clear" w:color="auto" w:fill="auto"/>
            <w:noWrap/>
          </w:tcPr>
          <w:p w14:paraId="2503F85A">
            <w:pPr>
              <w:pStyle w:val="14"/>
              <w:rPr>
                <w:lang w:eastAsia="ko-KR"/>
              </w:rPr>
            </w:pPr>
            <w:r>
              <w:rPr>
                <w:lang w:eastAsia="ko-KR"/>
              </w:rPr>
              <w:t>Measured quantity value</w:t>
            </w:r>
            <w:r>
              <w:rPr>
                <w:lang w:eastAsia="ko-KR"/>
              </w:rPr>
              <w:br w:type="textWrapping"/>
            </w:r>
            <w:r>
              <w:rPr>
                <w:lang w:eastAsia="ko-KR"/>
              </w:rPr>
              <w:t>(L3 SS-RSRP)</w:t>
            </w:r>
            <w:r>
              <w:rPr>
                <w:rFonts w:hint="eastAsia"/>
                <w:lang w:eastAsia="zh-CN"/>
              </w:rPr>
              <w:t xml:space="preserve"> and CSI-RSRP</w:t>
            </w:r>
          </w:p>
        </w:tc>
        <w:tc>
          <w:tcPr>
            <w:tcW w:w="1660" w:type="pct"/>
          </w:tcPr>
          <w:p w14:paraId="245B52D0">
            <w:pPr>
              <w:pStyle w:val="14"/>
              <w:rPr>
                <w:lang w:eastAsia="ko-KR"/>
              </w:rPr>
            </w:pPr>
            <w:r>
              <w:rPr>
                <w:lang w:eastAsia="ko-KR"/>
              </w:rPr>
              <w:t>Measured quantity value</w:t>
            </w:r>
            <w:r>
              <w:rPr>
                <w:lang w:eastAsia="ko-KR"/>
              </w:rPr>
              <w:br w:type="textWrapping"/>
            </w:r>
            <w:r>
              <w:rPr>
                <w:lang w:eastAsia="ko-KR"/>
              </w:rPr>
              <w:t>(L1 SS-RSRP and CSI-RSRP)</w:t>
            </w:r>
          </w:p>
        </w:tc>
        <w:tc>
          <w:tcPr>
            <w:tcW w:w="550" w:type="pct"/>
            <w:shd w:val="clear" w:color="auto" w:fill="auto"/>
            <w:noWrap/>
          </w:tcPr>
          <w:p w14:paraId="5E84BF4A">
            <w:pPr>
              <w:pStyle w:val="14"/>
              <w:rPr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</w:tr>
      <w:tr w14:paraId="45649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CF0814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RSRP_0</w:t>
            </w:r>
          </w:p>
        </w:tc>
        <w:tc>
          <w:tcPr>
            <w:tcW w:w="1578" w:type="pct"/>
            <w:shd w:val="clear" w:color="auto" w:fill="auto"/>
            <w:noWrap/>
          </w:tcPr>
          <w:p w14:paraId="719B650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SS-RSRP&lt;-156</w:t>
            </w:r>
          </w:p>
        </w:tc>
        <w:tc>
          <w:tcPr>
            <w:tcW w:w="1660" w:type="pct"/>
          </w:tcPr>
          <w:p w14:paraId="717F327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37BF6A7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10A3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F2E9F4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</w:t>
            </w:r>
          </w:p>
        </w:tc>
        <w:tc>
          <w:tcPr>
            <w:tcW w:w="1578" w:type="pct"/>
            <w:shd w:val="clear" w:color="auto" w:fill="auto"/>
            <w:noWrap/>
          </w:tcPr>
          <w:p w14:paraId="7AA0878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-156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SS-RSRP&lt;-155</w:t>
            </w:r>
          </w:p>
        </w:tc>
        <w:tc>
          <w:tcPr>
            <w:tcW w:w="1660" w:type="pct"/>
          </w:tcPr>
          <w:p w14:paraId="7B7D57F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12A4382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A642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40602768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RSRP_2</w:t>
            </w:r>
          </w:p>
        </w:tc>
        <w:tc>
          <w:tcPr>
            <w:tcW w:w="1578" w:type="pct"/>
            <w:shd w:val="clear" w:color="auto" w:fill="auto"/>
            <w:noWrap/>
          </w:tcPr>
          <w:p w14:paraId="43D4A1F7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-155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SS-RSRP&lt;-154</w:t>
            </w:r>
          </w:p>
        </w:tc>
        <w:tc>
          <w:tcPr>
            <w:tcW w:w="1660" w:type="pct"/>
          </w:tcPr>
          <w:p w14:paraId="4F564AC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3C7EE00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F100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00EF5A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RSRP_3</w:t>
            </w:r>
          </w:p>
        </w:tc>
        <w:tc>
          <w:tcPr>
            <w:tcW w:w="1578" w:type="pct"/>
            <w:shd w:val="clear" w:color="auto" w:fill="auto"/>
            <w:noWrap/>
          </w:tcPr>
          <w:p w14:paraId="78F37B08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-154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SS-RSRP&lt;-153</w:t>
            </w:r>
          </w:p>
        </w:tc>
        <w:tc>
          <w:tcPr>
            <w:tcW w:w="1660" w:type="pct"/>
          </w:tcPr>
          <w:p w14:paraId="2FC3E0E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8981FF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BE52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43BECC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RSRP_4</w:t>
            </w:r>
          </w:p>
        </w:tc>
        <w:tc>
          <w:tcPr>
            <w:tcW w:w="1578" w:type="pct"/>
            <w:shd w:val="clear" w:color="auto" w:fill="auto"/>
            <w:noWrap/>
          </w:tcPr>
          <w:p w14:paraId="79F805D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-153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SS-RSRP&lt;-152</w:t>
            </w:r>
          </w:p>
        </w:tc>
        <w:tc>
          <w:tcPr>
            <w:tcW w:w="1660" w:type="pct"/>
          </w:tcPr>
          <w:p w14:paraId="3B0581C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5D511D7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3443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7247521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RSRP_5</w:t>
            </w:r>
          </w:p>
        </w:tc>
        <w:tc>
          <w:tcPr>
            <w:tcW w:w="1578" w:type="pct"/>
            <w:shd w:val="clear" w:color="auto" w:fill="auto"/>
            <w:noWrap/>
          </w:tcPr>
          <w:p w14:paraId="3524CAB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-152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SS-RSRP&lt;-151</w:t>
            </w:r>
          </w:p>
        </w:tc>
        <w:tc>
          <w:tcPr>
            <w:tcW w:w="1660" w:type="pct"/>
          </w:tcPr>
          <w:p w14:paraId="5F82B01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33A95C3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537EF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6C1A5EF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RSRP_6</w:t>
            </w:r>
          </w:p>
        </w:tc>
        <w:tc>
          <w:tcPr>
            <w:tcW w:w="1578" w:type="pct"/>
            <w:shd w:val="clear" w:color="auto" w:fill="auto"/>
            <w:noWrap/>
          </w:tcPr>
          <w:p w14:paraId="4AB90A8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-151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SS-RSRP&lt;-150</w:t>
            </w:r>
          </w:p>
        </w:tc>
        <w:tc>
          <w:tcPr>
            <w:tcW w:w="1660" w:type="pct"/>
          </w:tcPr>
          <w:p w14:paraId="37D50E98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39DB03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7960C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48F8B69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RSRP_7</w:t>
            </w:r>
          </w:p>
        </w:tc>
        <w:tc>
          <w:tcPr>
            <w:tcW w:w="1578" w:type="pct"/>
            <w:shd w:val="clear" w:color="auto" w:fill="auto"/>
            <w:noWrap/>
          </w:tcPr>
          <w:p w14:paraId="0882047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-150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SS-RSRP&lt;-149</w:t>
            </w:r>
          </w:p>
        </w:tc>
        <w:tc>
          <w:tcPr>
            <w:tcW w:w="1660" w:type="pct"/>
          </w:tcPr>
          <w:p w14:paraId="7EF13C5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7A5A96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D15B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114E3A8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RSRP_8</w:t>
            </w:r>
          </w:p>
        </w:tc>
        <w:tc>
          <w:tcPr>
            <w:tcW w:w="1578" w:type="pct"/>
            <w:shd w:val="clear" w:color="auto" w:fill="auto"/>
            <w:noWrap/>
          </w:tcPr>
          <w:p w14:paraId="0127474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-149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SS-RSRP&lt;-148</w:t>
            </w:r>
          </w:p>
        </w:tc>
        <w:tc>
          <w:tcPr>
            <w:tcW w:w="1660" w:type="pct"/>
          </w:tcPr>
          <w:p w14:paraId="5AE6FFA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AEBA49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2E26E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75EA6268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RSRP_9</w:t>
            </w:r>
          </w:p>
        </w:tc>
        <w:tc>
          <w:tcPr>
            <w:tcW w:w="1578" w:type="pct"/>
            <w:shd w:val="clear" w:color="auto" w:fill="auto"/>
            <w:noWrap/>
          </w:tcPr>
          <w:p w14:paraId="3BCE34A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-148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SS-RSRP&lt;-147</w:t>
            </w:r>
          </w:p>
        </w:tc>
        <w:tc>
          <w:tcPr>
            <w:tcW w:w="1660" w:type="pct"/>
          </w:tcPr>
          <w:p w14:paraId="70C5E046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7239CAD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DFFB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4B85897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RSRP_10</w:t>
            </w:r>
          </w:p>
        </w:tc>
        <w:tc>
          <w:tcPr>
            <w:tcW w:w="1578" w:type="pct"/>
            <w:shd w:val="clear" w:color="auto" w:fill="auto"/>
            <w:noWrap/>
          </w:tcPr>
          <w:p w14:paraId="4F2B5CB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-147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SS-RSRP&lt;-146</w:t>
            </w:r>
          </w:p>
        </w:tc>
        <w:tc>
          <w:tcPr>
            <w:tcW w:w="1660" w:type="pct"/>
          </w:tcPr>
          <w:p w14:paraId="4D91AE3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8D5D2A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734BB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071C10E8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</w:t>
            </w:r>
          </w:p>
        </w:tc>
        <w:tc>
          <w:tcPr>
            <w:tcW w:w="1578" w:type="pct"/>
            <w:shd w:val="clear" w:color="auto" w:fill="auto"/>
            <w:noWrap/>
          </w:tcPr>
          <w:p w14:paraId="5AC1485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-146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SS-RSRP&lt;-145</w:t>
            </w:r>
          </w:p>
        </w:tc>
        <w:tc>
          <w:tcPr>
            <w:tcW w:w="1660" w:type="pct"/>
          </w:tcPr>
          <w:p w14:paraId="4401AE1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F816D5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CCA1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A45AD0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</w:t>
            </w:r>
          </w:p>
        </w:tc>
        <w:tc>
          <w:tcPr>
            <w:tcW w:w="1578" w:type="pct"/>
            <w:shd w:val="clear" w:color="auto" w:fill="auto"/>
            <w:noWrap/>
          </w:tcPr>
          <w:p w14:paraId="1E0BF2E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-145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SS-RSRP&lt;-144</w:t>
            </w:r>
          </w:p>
        </w:tc>
        <w:tc>
          <w:tcPr>
            <w:tcW w:w="1660" w:type="pct"/>
          </w:tcPr>
          <w:p w14:paraId="4B738B4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2AB3BF9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7A313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7F6EC99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RSRP_13</w:t>
            </w:r>
          </w:p>
        </w:tc>
        <w:tc>
          <w:tcPr>
            <w:tcW w:w="1578" w:type="pct"/>
            <w:shd w:val="clear" w:color="auto" w:fill="auto"/>
            <w:noWrap/>
          </w:tcPr>
          <w:p w14:paraId="5837EA5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-144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SS-RSRP&lt;-143</w:t>
            </w:r>
          </w:p>
        </w:tc>
        <w:tc>
          <w:tcPr>
            <w:tcW w:w="1660" w:type="pct"/>
          </w:tcPr>
          <w:p w14:paraId="7426C33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E1C994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A7EC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4D86DEC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RSRP_14</w:t>
            </w:r>
          </w:p>
        </w:tc>
        <w:tc>
          <w:tcPr>
            <w:tcW w:w="1578" w:type="pct"/>
            <w:shd w:val="clear" w:color="auto" w:fill="auto"/>
            <w:noWrap/>
          </w:tcPr>
          <w:p w14:paraId="4A1C86E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-143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SS-RSRP&lt;-142</w:t>
            </w:r>
          </w:p>
        </w:tc>
        <w:tc>
          <w:tcPr>
            <w:tcW w:w="1660" w:type="pct"/>
          </w:tcPr>
          <w:p w14:paraId="437112C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3E95C17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5B7A8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BA679B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RSRP_15</w:t>
            </w:r>
          </w:p>
        </w:tc>
        <w:tc>
          <w:tcPr>
            <w:tcW w:w="1578" w:type="pct"/>
            <w:shd w:val="clear" w:color="auto" w:fill="auto"/>
            <w:noWrap/>
          </w:tcPr>
          <w:p w14:paraId="7C992C36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-142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SS-RSRP&lt;-141</w:t>
            </w:r>
          </w:p>
        </w:tc>
        <w:tc>
          <w:tcPr>
            <w:tcW w:w="1660" w:type="pct"/>
          </w:tcPr>
          <w:p w14:paraId="1B420AA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4FA080D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B15F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07F1DFD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RSRP_16</w:t>
            </w:r>
          </w:p>
        </w:tc>
        <w:tc>
          <w:tcPr>
            <w:tcW w:w="1578" w:type="pct"/>
            <w:shd w:val="clear" w:color="auto" w:fill="auto"/>
            <w:noWrap/>
          </w:tcPr>
          <w:p w14:paraId="6525A85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-141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SS-RSRP&lt;-140</w:t>
            </w:r>
          </w:p>
        </w:tc>
        <w:tc>
          <w:tcPr>
            <w:tcW w:w="1660" w:type="pct"/>
          </w:tcPr>
          <w:p w14:paraId="70B77B3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RSRP&lt;-140</w:t>
            </w:r>
          </w:p>
        </w:tc>
        <w:tc>
          <w:tcPr>
            <w:tcW w:w="550" w:type="pct"/>
            <w:shd w:val="clear" w:color="auto" w:fill="auto"/>
            <w:noWrap/>
          </w:tcPr>
          <w:p w14:paraId="49FE47D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1BF4C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541E9515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RSRP_17</w:t>
            </w:r>
          </w:p>
        </w:tc>
        <w:tc>
          <w:tcPr>
            <w:tcW w:w="1578" w:type="pct"/>
            <w:shd w:val="clear" w:color="auto" w:fill="auto"/>
            <w:noWrap/>
          </w:tcPr>
          <w:p w14:paraId="344A260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-140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SS-RSRP&lt;-139</w:t>
            </w:r>
          </w:p>
        </w:tc>
        <w:tc>
          <w:tcPr>
            <w:tcW w:w="1660" w:type="pct"/>
          </w:tcPr>
          <w:p w14:paraId="1BA123B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-140</w:t>
            </w:r>
            <w:r>
              <w:rPr/>
              <w:sym w:font="Symbol" w:char="F0A3"/>
            </w:r>
            <w:r>
              <w:rPr>
                <w:lang w:eastAsia="ko-KR"/>
              </w:rPr>
              <w:t>RSRP&lt;-139</w:t>
            </w:r>
          </w:p>
        </w:tc>
        <w:tc>
          <w:tcPr>
            <w:tcW w:w="550" w:type="pct"/>
            <w:shd w:val="clear" w:color="auto" w:fill="auto"/>
            <w:noWrap/>
          </w:tcPr>
          <w:p w14:paraId="0FE33F0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8A0D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196759F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RSRP_18</w:t>
            </w:r>
          </w:p>
        </w:tc>
        <w:tc>
          <w:tcPr>
            <w:tcW w:w="1578" w:type="pct"/>
            <w:shd w:val="clear" w:color="auto" w:fill="auto"/>
            <w:noWrap/>
          </w:tcPr>
          <w:p w14:paraId="2CF37B2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-139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SS-RSRP&lt;-138</w:t>
            </w:r>
          </w:p>
        </w:tc>
        <w:tc>
          <w:tcPr>
            <w:tcW w:w="1660" w:type="pct"/>
          </w:tcPr>
          <w:p w14:paraId="13C93F66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-139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RSRP&lt;-138</w:t>
            </w:r>
          </w:p>
        </w:tc>
        <w:tc>
          <w:tcPr>
            <w:tcW w:w="550" w:type="pct"/>
            <w:shd w:val="clear" w:color="auto" w:fill="auto"/>
            <w:noWrap/>
          </w:tcPr>
          <w:p w14:paraId="2A91DB9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00C9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0E488A7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578" w:type="pct"/>
            <w:shd w:val="clear" w:color="auto" w:fill="auto"/>
            <w:noWrap/>
          </w:tcPr>
          <w:p w14:paraId="0FF43E8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660" w:type="pct"/>
          </w:tcPr>
          <w:p w14:paraId="280EEE2D">
            <w:pPr>
              <w:pStyle w:val="16"/>
              <w:rPr>
                <w:lang w:eastAsia="ko-KR"/>
              </w:rPr>
            </w:pPr>
          </w:p>
        </w:tc>
        <w:tc>
          <w:tcPr>
            <w:tcW w:w="550" w:type="pct"/>
            <w:shd w:val="clear" w:color="auto" w:fill="auto"/>
            <w:noWrap/>
          </w:tcPr>
          <w:p w14:paraId="5FD3EBD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 w14:paraId="3EE28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5DA3AEA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RSRP_111</w:t>
            </w:r>
          </w:p>
        </w:tc>
        <w:tc>
          <w:tcPr>
            <w:tcW w:w="1578" w:type="pct"/>
            <w:shd w:val="clear" w:color="auto" w:fill="auto"/>
            <w:noWrap/>
          </w:tcPr>
          <w:p w14:paraId="6B6F85A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-46</w:t>
            </w:r>
            <w:r>
              <w:rPr/>
              <w:sym w:font="Symbol" w:char="F0A3"/>
            </w:r>
            <w:r>
              <w:rPr>
                <w:rFonts w:hint="eastAsia"/>
                <w:lang w:eastAsia="ko-KR"/>
              </w:rPr>
              <w:t>≤</w:t>
            </w:r>
            <w:r>
              <w:t xml:space="preserve"> </w:t>
            </w:r>
            <w:r>
              <w:rPr>
                <w:lang w:eastAsia="ko-KR"/>
              </w:rPr>
              <w:t>SS-RSRP&lt;-45</w:t>
            </w:r>
          </w:p>
        </w:tc>
        <w:tc>
          <w:tcPr>
            <w:tcW w:w="1660" w:type="pct"/>
          </w:tcPr>
          <w:p w14:paraId="3067E4E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-46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RSRP&lt;-45</w:t>
            </w:r>
          </w:p>
        </w:tc>
        <w:tc>
          <w:tcPr>
            <w:tcW w:w="550" w:type="pct"/>
            <w:shd w:val="clear" w:color="auto" w:fill="auto"/>
            <w:noWrap/>
          </w:tcPr>
          <w:p w14:paraId="1CC4A45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295A3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12F13275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RSRP_112</w:t>
            </w:r>
          </w:p>
        </w:tc>
        <w:tc>
          <w:tcPr>
            <w:tcW w:w="1578" w:type="pct"/>
            <w:shd w:val="clear" w:color="auto" w:fill="auto"/>
            <w:noWrap/>
          </w:tcPr>
          <w:p w14:paraId="4A29616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-45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SS-RSRP&lt;-44</w:t>
            </w:r>
          </w:p>
        </w:tc>
        <w:tc>
          <w:tcPr>
            <w:tcW w:w="1660" w:type="pct"/>
          </w:tcPr>
          <w:p w14:paraId="308AC7B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-45</w:t>
            </w:r>
            <w:r>
              <w:rPr/>
              <w:sym w:font="Symbol" w:char="F0A3"/>
            </w:r>
            <w:r>
              <w:t xml:space="preserve"> RSRP</w:t>
            </w:r>
            <w:r>
              <w:rPr>
                <w:lang w:eastAsia="ko-KR"/>
              </w:rPr>
              <w:t>&lt;-44</w:t>
            </w:r>
          </w:p>
        </w:tc>
        <w:tc>
          <w:tcPr>
            <w:tcW w:w="550" w:type="pct"/>
            <w:shd w:val="clear" w:color="auto" w:fill="auto"/>
            <w:noWrap/>
          </w:tcPr>
          <w:p w14:paraId="571DB29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B3FE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04B53C1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RSRP_113</w:t>
            </w:r>
          </w:p>
        </w:tc>
        <w:tc>
          <w:tcPr>
            <w:tcW w:w="1578" w:type="pct"/>
            <w:shd w:val="clear" w:color="auto" w:fill="auto"/>
            <w:noWrap/>
          </w:tcPr>
          <w:p w14:paraId="37CFC115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-44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SS-RSRP&lt;-43</w:t>
            </w:r>
          </w:p>
        </w:tc>
        <w:tc>
          <w:tcPr>
            <w:tcW w:w="1660" w:type="pct"/>
          </w:tcPr>
          <w:p w14:paraId="382F2456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-44</w:t>
            </w:r>
            <w:r>
              <w:rPr/>
              <w:sym w:font="Symbol" w:char="F0A3"/>
            </w:r>
            <w:r>
              <w:t xml:space="preserve"> RSRP</w:t>
            </w:r>
          </w:p>
        </w:tc>
        <w:tc>
          <w:tcPr>
            <w:tcW w:w="550" w:type="pct"/>
            <w:shd w:val="clear" w:color="auto" w:fill="auto"/>
            <w:noWrap/>
          </w:tcPr>
          <w:p w14:paraId="0391CBB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D047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E8B6F3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RSRP_114</w:t>
            </w:r>
          </w:p>
        </w:tc>
        <w:tc>
          <w:tcPr>
            <w:tcW w:w="1578" w:type="pct"/>
            <w:shd w:val="clear" w:color="auto" w:fill="auto"/>
            <w:noWrap/>
          </w:tcPr>
          <w:p w14:paraId="36372A6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-43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SS-RSRP&lt;-42</w:t>
            </w:r>
          </w:p>
        </w:tc>
        <w:tc>
          <w:tcPr>
            <w:tcW w:w="1660" w:type="pct"/>
          </w:tcPr>
          <w:p w14:paraId="7D62E145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5569202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58603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6F88EC67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RSRP_115</w:t>
            </w:r>
          </w:p>
        </w:tc>
        <w:tc>
          <w:tcPr>
            <w:tcW w:w="1578" w:type="pct"/>
            <w:shd w:val="clear" w:color="auto" w:fill="auto"/>
            <w:noWrap/>
          </w:tcPr>
          <w:p w14:paraId="72E22CF7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-42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SS-RSRP&lt;-41</w:t>
            </w:r>
          </w:p>
        </w:tc>
        <w:tc>
          <w:tcPr>
            <w:tcW w:w="1660" w:type="pct"/>
          </w:tcPr>
          <w:p w14:paraId="69E4022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B3481B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799A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7EC8C33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RSRP_116</w:t>
            </w:r>
          </w:p>
        </w:tc>
        <w:tc>
          <w:tcPr>
            <w:tcW w:w="1578" w:type="pct"/>
            <w:shd w:val="clear" w:color="auto" w:fill="auto"/>
            <w:noWrap/>
          </w:tcPr>
          <w:p w14:paraId="76F6F717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-41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SS-RSRP&lt;-40</w:t>
            </w:r>
          </w:p>
        </w:tc>
        <w:tc>
          <w:tcPr>
            <w:tcW w:w="1660" w:type="pct"/>
          </w:tcPr>
          <w:p w14:paraId="7B7217F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30EBDF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24FBE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6C4BE6C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RSRP_117</w:t>
            </w:r>
          </w:p>
        </w:tc>
        <w:tc>
          <w:tcPr>
            <w:tcW w:w="1578" w:type="pct"/>
            <w:shd w:val="clear" w:color="auto" w:fill="auto"/>
            <w:noWrap/>
          </w:tcPr>
          <w:p w14:paraId="36E0794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-40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SS-RSRP&lt;-39</w:t>
            </w:r>
          </w:p>
        </w:tc>
        <w:tc>
          <w:tcPr>
            <w:tcW w:w="1660" w:type="pct"/>
          </w:tcPr>
          <w:p w14:paraId="5C9908F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75FA78D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6BDD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6FEF4AF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RSRP_118</w:t>
            </w:r>
          </w:p>
        </w:tc>
        <w:tc>
          <w:tcPr>
            <w:tcW w:w="1578" w:type="pct"/>
            <w:shd w:val="clear" w:color="auto" w:fill="auto"/>
            <w:noWrap/>
          </w:tcPr>
          <w:p w14:paraId="4A1ABC8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-39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SS-RSRP&lt;-38</w:t>
            </w:r>
          </w:p>
        </w:tc>
        <w:tc>
          <w:tcPr>
            <w:tcW w:w="1660" w:type="pct"/>
          </w:tcPr>
          <w:p w14:paraId="7EBFF4F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2524903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3542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AF1806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RSRP_119</w:t>
            </w:r>
          </w:p>
        </w:tc>
        <w:tc>
          <w:tcPr>
            <w:tcW w:w="1578" w:type="pct"/>
            <w:shd w:val="clear" w:color="auto" w:fill="auto"/>
            <w:noWrap/>
          </w:tcPr>
          <w:p w14:paraId="5DD88A1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-38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SS-RSRP&lt;-37</w:t>
            </w:r>
          </w:p>
        </w:tc>
        <w:tc>
          <w:tcPr>
            <w:tcW w:w="1660" w:type="pct"/>
          </w:tcPr>
          <w:p w14:paraId="5737ADC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E11FE4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70909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DEEA36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RSRP_120</w:t>
            </w:r>
          </w:p>
        </w:tc>
        <w:tc>
          <w:tcPr>
            <w:tcW w:w="1578" w:type="pct"/>
            <w:shd w:val="clear" w:color="auto" w:fill="auto"/>
            <w:noWrap/>
          </w:tcPr>
          <w:p w14:paraId="36FE784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-37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SS-RSRP&lt;-36</w:t>
            </w:r>
          </w:p>
        </w:tc>
        <w:tc>
          <w:tcPr>
            <w:tcW w:w="1660" w:type="pct"/>
          </w:tcPr>
          <w:p w14:paraId="5B595D4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E5BBDE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55BC2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7552B99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RSRP_121</w:t>
            </w:r>
          </w:p>
        </w:tc>
        <w:tc>
          <w:tcPr>
            <w:tcW w:w="1578" w:type="pct"/>
            <w:shd w:val="clear" w:color="auto" w:fill="auto"/>
            <w:noWrap/>
          </w:tcPr>
          <w:p w14:paraId="01A76AB8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-36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SS-RSRP&lt;-35</w:t>
            </w:r>
          </w:p>
        </w:tc>
        <w:tc>
          <w:tcPr>
            <w:tcW w:w="1660" w:type="pct"/>
          </w:tcPr>
          <w:p w14:paraId="0EB5CE9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FC4389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714E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E93C27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RSRP_122</w:t>
            </w:r>
          </w:p>
        </w:tc>
        <w:tc>
          <w:tcPr>
            <w:tcW w:w="1578" w:type="pct"/>
            <w:shd w:val="clear" w:color="auto" w:fill="auto"/>
            <w:noWrap/>
          </w:tcPr>
          <w:p w14:paraId="759950A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-35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SS-RSRP&lt;-34</w:t>
            </w:r>
          </w:p>
        </w:tc>
        <w:tc>
          <w:tcPr>
            <w:tcW w:w="1660" w:type="pct"/>
          </w:tcPr>
          <w:p w14:paraId="15B84B06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5A22E0B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254BC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48315CF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RSRP_123</w:t>
            </w:r>
          </w:p>
        </w:tc>
        <w:tc>
          <w:tcPr>
            <w:tcW w:w="1578" w:type="pct"/>
            <w:shd w:val="clear" w:color="auto" w:fill="auto"/>
            <w:noWrap/>
          </w:tcPr>
          <w:p w14:paraId="28C88CC8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-34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SS-RSRP&lt;-33</w:t>
            </w:r>
          </w:p>
        </w:tc>
        <w:tc>
          <w:tcPr>
            <w:tcW w:w="1660" w:type="pct"/>
          </w:tcPr>
          <w:p w14:paraId="30CDA3B5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5C0E226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15D2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6644BEE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RSRP_124</w:t>
            </w:r>
          </w:p>
        </w:tc>
        <w:tc>
          <w:tcPr>
            <w:tcW w:w="1578" w:type="pct"/>
            <w:shd w:val="clear" w:color="auto" w:fill="auto"/>
            <w:noWrap/>
          </w:tcPr>
          <w:p w14:paraId="765BB83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-33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SS-RSRP&lt;-32</w:t>
            </w:r>
          </w:p>
        </w:tc>
        <w:tc>
          <w:tcPr>
            <w:tcW w:w="1660" w:type="pct"/>
          </w:tcPr>
          <w:p w14:paraId="37B8220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2DFF2C8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85ED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5E133B3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RSRP_125</w:t>
            </w:r>
          </w:p>
        </w:tc>
        <w:tc>
          <w:tcPr>
            <w:tcW w:w="1578" w:type="pct"/>
            <w:shd w:val="clear" w:color="auto" w:fill="auto"/>
            <w:noWrap/>
          </w:tcPr>
          <w:p w14:paraId="22D28CA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-32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SS-RSRP&lt;-31</w:t>
            </w:r>
          </w:p>
        </w:tc>
        <w:tc>
          <w:tcPr>
            <w:tcW w:w="1660" w:type="pct"/>
          </w:tcPr>
          <w:p w14:paraId="026A07C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38B950D5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B0EC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9AAE81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RSRP_126</w:t>
            </w:r>
          </w:p>
        </w:tc>
        <w:tc>
          <w:tcPr>
            <w:tcW w:w="1578" w:type="pct"/>
            <w:shd w:val="clear" w:color="auto" w:fill="auto"/>
            <w:noWrap/>
          </w:tcPr>
          <w:p w14:paraId="1C95CD1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-31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</w:t>
            </w:r>
          </w:p>
        </w:tc>
        <w:tc>
          <w:tcPr>
            <w:tcW w:w="1660" w:type="pct"/>
          </w:tcPr>
          <w:p w14:paraId="39EA8B75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75F4CAA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39DF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10C81E2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 xml:space="preserve">RSRP_127 </w:t>
            </w:r>
            <w:r>
              <w:rPr>
                <w:lang w:eastAsia="zh-CN"/>
              </w:rPr>
              <w:t>(Note)</w:t>
            </w:r>
          </w:p>
        </w:tc>
        <w:tc>
          <w:tcPr>
            <w:tcW w:w="1578" w:type="pct"/>
            <w:shd w:val="clear" w:color="auto" w:fill="auto"/>
            <w:noWrap/>
          </w:tcPr>
          <w:p w14:paraId="683A54C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Infinity</w:t>
            </w:r>
          </w:p>
        </w:tc>
        <w:tc>
          <w:tcPr>
            <w:tcW w:w="1660" w:type="pct"/>
          </w:tcPr>
          <w:p w14:paraId="20D230A1">
            <w:pPr>
              <w:pStyle w:val="16"/>
              <w:rPr>
                <w:lang w:eastAsia="ko-KR"/>
              </w:rPr>
            </w:pPr>
            <w:r>
              <w:rPr>
                <w:lang w:eastAsia="zh-CN"/>
              </w:rPr>
              <w:t>Infinity</w:t>
            </w:r>
          </w:p>
        </w:tc>
        <w:tc>
          <w:tcPr>
            <w:tcW w:w="550" w:type="pct"/>
            <w:shd w:val="clear" w:color="auto" w:fill="auto"/>
            <w:noWrap/>
          </w:tcPr>
          <w:p w14:paraId="3AA05306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5FE78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4"/>
            <w:shd w:val="clear" w:color="auto" w:fill="auto"/>
            <w:noWrap/>
          </w:tcPr>
          <w:p w14:paraId="4D6968D5">
            <w:pPr>
              <w:pStyle w:val="17"/>
              <w:rPr>
                <w:lang w:eastAsia="ko-KR"/>
              </w:rPr>
            </w:pPr>
            <w:r>
              <w:rPr>
                <w:lang w:eastAsia="zh-CN"/>
              </w:rPr>
              <w:t>NOTE:</w:t>
            </w:r>
            <w:r>
              <w:rPr>
                <w:sz w:val="28"/>
              </w:rPr>
              <w:tab/>
            </w:r>
            <w:r>
              <w:rPr>
                <w:lang w:eastAsia="zh-CN"/>
              </w:rPr>
              <w:t>The value of RSRP_127 is applicable for RSRP threshold configured by the network as defined in TS 38.331 [2], but not for the purpose of measurement reporting.</w:t>
            </w:r>
          </w:p>
        </w:tc>
      </w:tr>
    </w:tbl>
    <w:p w14:paraId="4F2D4585"/>
    <w:p w14:paraId="16D0CCDF">
      <w:pPr>
        <w:pStyle w:val="1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rPr>
          <w:rFonts w:hint="eastAsia" w:eastAsia="宋体"/>
          <w:sz w:val="22"/>
          <w:szCs w:val="22"/>
          <w:lang w:val="en-US" w:eastAsia="zh-CN"/>
        </w:rPr>
      </w:pPr>
      <w:r>
        <w:rPr>
          <w:sz w:val="22"/>
          <w:szCs w:val="22"/>
        </w:rPr>
        <w:t>Table 10.1.6.1-2: Differential SS-RSRP and CSI-RSRP measurement (for L1 reporting) report mapping</w:t>
      </w:r>
      <w:r>
        <w:rPr>
          <w:rFonts w:hint="eastAsia"/>
          <w:sz w:val="22"/>
          <w:szCs w:val="22"/>
          <w:lang w:val="en-US" w:eastAsia="zh-CN"/>
        </w:rPr>
        <w:t xml:space="preserve"> (TS 38.133)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17"/>
        <w:gridCol w:w="4535"/>
        <w:gridCol w:w="883"/>
      </w:tblGrid>
      <w:tr w14:paraId="022AB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63503A69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Reported value</w:t>
            </w:r>
          </w:p>
        </w:tc>
        <w:tc>
          <w:tcPr>
            <w:tcW w:w="4535" w:type="dxa"/>
          </w:tcPr>
          <w:p w14:paraId="17DDBF37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Measured quantity value (difference in measured RSRP from strongest RSRP)</w:t>
            </w:r>
          </w:p>
        </w:tc>
        <w:tc>
          <w:tcPr>
            <w:tcW w:w="883" w:type="dxa"/>
            <w:shd w:val="clear" w:color="auto" w:fill="auto"/>
            <w:noWrap/>
          </w:tcPr>
          <w:p w14:paraId="30FD5821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Unit</w:t>
            </w:r>
          </w:p>
        </w:tc>
      </w:tr>
      <w:tr w14:paraId="3D745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3BDB8261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DIFFRSRP_0</w:t>
            </w:r>
          </w:p>
        </w:tc>
        <w:tc>
          <w:tcPr>
            <w:tcW w:w="4535" w:type="dxa"/>
          </w:tcPr>
          <w:p w14:paraId="6F25A3D2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</w:t>
            </w:r>
          </w:p>
        </w:tc>
        <w:tc>
          <w:tcPr>
            <w:tcW w:w="883" w:type="dxa"/>
            <w:shd w:val="clear" w:color="auto" w:fill="auto"/>
            <w:noWrap/>
          </w:tcPr>
          <w:p w14:paraId="120AA54E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40124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3364FB8C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DIFFRSRP_1</w:t>
            </w:r>
          </w:p>
        </w:tc>
        <w:tc>
          <w:tcPr>
            <w:tcW w:w="4535" w:type="dxa"/>
          </w:tcPr>
          <w:p w14:paraId="4412E760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-2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RSRP&gt;-4</w:t>
            </w:r>
          </w:p>
        </w:tc>
        <w:tc>
          <w:tcPr>
            <w:tcW w:w="883" w:type="dxa"/>
            <w:shd w:val="clear" w:color="auto" w:fill="auto"/>
            <w:noWrap/>
          </w:tcPr>
          <w:p w14:paraId="24432C96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80B1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174AB974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DIFFRSRP_2</w:t>
            </w:r>
          </w:p>
        </w:tc>
        <w:tc>
          <w:tcPr>
            <w:tcW w:w="4535" w:type="dxa"/>
          </w:tcPr>
          <w:p w14:paraId="28B9575B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-4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RSRP&gt;-6</w:t>
            </w:r>
          </w:p>
        </w:tc>
        <w:tc>
          <w:tcPr>
            <w:tcW w:w="883" w:type="dxa"/>
            <w:shd w:val="clear" w:color="auto" w:fill="auto"/>
            <w:noWrap/>
          </w:tcPr>
          <w:p w14:paraId="69590B15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A6C2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7CFE6327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DIFFRSRP_3</w:t>
            </w:r>
          </w:p>
        </w:tc>
        <w:tc>
          <w:tcPr>
            <w:tcW w:w="4535" w:type="dxa"/>
          </w:tcPr>
          <w:p w14:paraId="462ED06B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-6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RSRP&gt;-8</w:t>
            </w:r>
          </w:p>
        </w:tc>
        <w:tc>
          <w:tcPr>
            <w:tcW w:w="883" w:type="dxa"/>
            <w:shd w:val="clear" w:color="auto" w:fill="auto"/>
            <w:noWrap/>
          </w:tcPr>
          <w:p w14:paraId="0CFE7F74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02C63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42D94D2F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DIFFRSRP_4</w:t>
            </w:r>
          </w:p>
        </w:tc>
        <w:tc>
          <w:tcPr>
            <w:tcW w:w="4535" w:type="dxa"/>
          </w:tcPr>
          <w:p w14:paraId="2572EBA1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-8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RSRP&gt;-10</w:t>
            </w:r>
          </w:p>
        </w:tc>
        <w:tc>
          <w:tcPr>
            <w:tcW w:w="883" w:type="dxa"/>
            <w:shd w:val="clear" w:color="auto" w:fill="auto"/>
            <w:noWrap/>
          </w:tcPr>
          <w:p w14:paraId="44C63403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6A324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0A35B648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DIFFRSRP_5</w:t>
            </w:r>
          </w:p>
        </w:tc>
        <w:tc>
          <w:tcPr>
            <w:tcW w:w="4535" w:type="dxa"/>
          </w:tcPr>
          <w:p w14:paraId="499E9544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-10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RSRP&gt;-12</w:t>
            </w:r>
          </w:p>
        </w:tc>
        <w:tc>
          <w:tcPr>
            <w:tcW w:w="883" w:type="dxa"/>
            <w:shd w:val="clear" w:color="auto" w:fill="auto"/>
            <w:noWrap/>
          </w:tcPr>
          <w:p w14:paraId="63D12982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57233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26B34FC7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DIFFRSRP_6</w:t>
            </w:r>
          </w:p>
        </w:tc>
        <w:tc>
          <w:tcPr>
            <w:tcW w:w="4535" w:type="dxa"/>
          </w:tcPr>
          <w:p w14:paraId="4808461B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-12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RSRP&gt;-14</w:t>
            </w:r>
          </w:p>
        </w:tc>
        <w:tc>
          <w:tcPr>
            <w:tcW w:w="883" w:type="dxa"/>
            <w:shd w:val="clear" w:color="auto" w:fill="auto"/>
            <w:noWrap/>
          </w:tcPr>
          <w:p w14:paraId="00765839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59A24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7C1F038A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DIFFRSRP_7</w:t>
            </w:r>
          </w:p>
        </w:tc>
        <w:tc>
          <w:tcPr>
            <w:tcW w:w="4535" w:type="dxa"/>
          </w:tcPr>
          <w:p w14:paraId="4CD7B5AD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-14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RSRP&gt;-16</w:t>
            </w:r>
          </w:p>
        </w:tc>
        <w:tc>
          <w:tcPr>
            <w:tcW w:w="883" w:type="dxa"/>
            <w:shd w:val="clear" w:color="auto" w:fill="auto"/>
            <w:noWrap/>
          </w:tcPr>
          <w:p w14:paraId="0A618119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FC4D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41B09FAF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DIFFRSRP_8</w:t>
            </w:r>
          </w:p>
        </w:tc>
        <w:tc>
          <w:tcPr>
            <w:tcW w:w="4535" w:type="dxa"/>
          </w:tcPr>
          <w:p w14:paraId="2FEAD032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-16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RSRP&gt;-18</w:t>
            </w:r>
          </w:p>
        </w:tc>
        <w:tc>
          <w:tcPr>
            <w:tcW w:w="883" w:type="dxa"/>
            <w:shd w:val="clear" w:color="auto" w:fill="auto"/>
            <w:noWrap/>
          </w:tcPr>
          <w:p w14:paraId="5E41DCEA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D4FC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5CE63AD7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DIFFRSRP_9</w:t>
            </w:r>
          </w:p>
        </w:tc>
        <w:tc>
          <w:tcPr>
            <w:tcW w:w="4535" w:type="dxa"/>
          </w:tcPr>
          <w:p w14:paraId="076C2D9D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-18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RSRP&gt;-20</w:t>
            </w:r>
          </w:p>
        </w:tc>
        <w:tc>
          <w:tcPr>
            <w:tcW w:w="883" w:type="dxa"/>
            <w:shd w:val="clear" w:color="auto" w:fill="auto"/>
            <w:noWrap/>
          </w:tcPr>
          <w:p w14:paraId="5C1E9BE7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4CC5F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1949697C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DIFFRSRP_10</w:t>
            </w:r>
          </w:p>
        </w:tc>
        <w:tc>
          <w:tcPr>
            <w:tcW w:w="4535" w:type="dxa"/>
          </w:tcPr>
          <w:p w14:paraId="30608BDF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-20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RSRP&gt;-22</w:t>
            </w:r>
          </w:p>
        </w:tc>
        <w:tc>
          <w:tcPr>
            <w:tcW w:w="883" w:type="dxa"/>
            <w:shd w:val="clear" w:color="auto" w:fill="auto"/>
            <w:noWrap/>
          </w:tcPr>
          <w:p w14:paraId="02E2AAFB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631D9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62CCF157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DIFFRSRP_11</w:t>
            </w:r>
          </w:p>
        </w:tc>
        <w:tc>
          <w:tcPr>
            <w:tcW w:w="4535" w:type="dxa"/>
          </w:tcPr>
          <w:p w14:paraId="6B53728A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-22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RSRP&gt;-24</w:t>
            </w:r>
          </w:p>
        </w:tc>
        <w:tc>
          <w:tcPr>
            <w:tcW w:w="883" w:type="dxa"/>
            <w:shd w:val="clear" w:color="auto" w:fill="auto"/>
            <w:noWrap/>
          </w:tcPr>
          <w:p w14:paraId="7B5E1376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3C62B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00FC0353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DIFFRSRP_12</w:t>
            </w:r>
          </w:p>
        </w:tc>
        <w:tc>
          <w:tcPr>
            <w:tcW w:w="4535" w:type="dxa"/>
          </w:tcPr>
          <w:p w14:paraId="5F183BC0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-24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RSRP&gt;-26</w:t>
            </w:r>
          </w:p>
        </w:tc>
        <w:tc>
          <w:tcPr>
            <w:tcW w:w="883" w:type="dxa"/>
            <w:shd w:val="clear" w:color="auto" w:fill="auto"/>
            <w:noWrap/>
          </w:tcPr>
          <w:p w14:paraId="3FB92239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2D08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3157A800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DIFFRSRP_13</w:t>
            </w:r>
          </w:p>
        </w:tc>
        <w:tc>
          <w:tcPr>
            <w:tcW w:w="4535" w:type="dxa"/>
          </w:tcPr>
          <w:p w14:paraId="0AD4DAF3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-26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RSRP&gt;-28</w:t>
            </w:r>
          </w:p>
        </w:tc>
        <w:tc>
          <w:tcPr>
            <w:tcW w:w="883" w:type="dxa"/>
            <w:shd w:val="clear" w:color="auto" w:fill="auto"/>
            <w:noWrap/>
          </w:tcPr>
          <w:p w14:paraId="22E052AD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F59B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658DCA25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DIFFRSRP_14</w:t>
            </w:r>
          </w:p>
        </w:tc>
        <w:tc>
          <w:tcPr>
            <w:tcW w:w="4535" w:type="dxa"/>
          </w:tcPr>
          <w:p w14:paraId="0B90CA48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-28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RSRP&gt;-30</w:t>
            </w:r>
          </w:p>
        </w:tc>
        <w:tc>
          <w:tcPr>
            <w:tcW w:w="883" w:type="dxa"/>
            <w:shd w:val="clear" w:color="auto" w:fill="auto"/>
            <w:noWrap/>
          </w:tcPr>
          <w:p w14:paraId="4CACE1A8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2870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4FF5E81E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DIFFRSRP_15</w:t>
            </w:r>
          </w:p>
        </w:tc>
        <w:tc>
          <w:tcPr>
            <w:tcW w:w="4535" w:type="dxa"/>
          </w:tcPr>
          <w:p w14:paraId="27D69F3E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-30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</w:t>
            </w:r>
          </w:p>
        </w:tc>
        <w:tc>
          <w:tcPr>
            <w:tcW w:w="883" w:type="dxa"/>
            <w:shd w:val="clear" w:color="auto" w:fill="auto"/>
            <w:noWrap/>
          </w:tcPr>
          <w:p w14:paraId="6FA7C6EA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</w:tbl>
    <w:p w14:paraId="53938F2C">
      <w:pPr>
        <w:spacing w:after="180" w:line="240" w:lineRule="exact"/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</w:pPr>
    </w:p>
    <w:p w14:paraId="3CB19297">
      <w:pPr>
        <w:spacing w:after="180" w:line="240" w:lineRule="exact"/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>2</w:t>
      </w:r>
      <w:r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>: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based on RAN1 agreements, the legacy </w:t>
      </w:r>
      <w:r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L1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</w:rPr>
        <w:t>report mapping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, i.e.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eastAsia="ko-KR"/>
        </w:rPr>
        <w:t>L1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part of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</w:rPr>
        <w:t>Table 10.1.6.1-1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and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</w:rPr>
        <w:t>Table 10.1.6.1-2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in TS38.133 can be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reused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for the report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mapping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of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predict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e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d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L1-RSRP, but some wording update is needed.</w:t>
      </w:r>
    </w:p>
    <w:p w14:paraId="6A82A90C">
      <w:pPr>
        <w:spacing w:after="180" w:line="240" w:lineRule="exact"/>
        <w:rPr>
          <w:rFonts w:hint="eastAsia" w:ascii="Times New Roman" w:hAnsi="Times New Roman" w:eastAsia="等线"/>
          <w:b/>
          <w:bCs/>
          <w:i/>
          <w:iCs/>
          <w:sz w:val="20"/>
          <w:szCs w:val="20"/>
          <w:lang w:val="en-US" w:eastAsia="zh-CN"/>
        </w:rPr>
      </w:pPr>
    </w:p>
    <w:bookmarkEnd w:id="6"/>
    <w:bookmarkEnd w:id="7"/>
    <w:p w14:paraId="0AAB701D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bookmarkStart w:id="8" w:name="_GoBack"/>
      <w:bookmarkEnd w:id="8"/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Conclusio</w:t>
      </w:r>
      <w:r>
        <w:rPr>
          <w:rFonts w:hint="eastAsia" w:ascii="Times New Roman" w:hAnsi="Times New Roman"/>
          <w:b w:val="0"/>
          <w:bCs w:val="0"/>
          <w:kern w:val="0"/>
          <w:sz w:val="36"/>
          <w:szCs w:val="36"/>
          <w:lang w:val="en-US" w:eastAsia="zh-CN"/>
        </w:rPr>
        <w:t>n</w:t>
      </w:r>
    </w:p>
    <w:p w14:paraId="0FD1933D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GB"/>
        </w:rPr>
        <w:t>T</w:t>
      </w:r>
      <w:r>
        <w:rPr>
          <w:rFonts w:ascii="Times New Roman" w:hAnsi="Times New Roman"/>
          <w:sz w:val="20"/>
          <w:szCs w:val="20"/>
        </w:rPr>
        <w:t>his contribution</w:t>
      </w:r>
      <w:r>
        <w:rPr>
          <w:rFonts w:hint="eastAsia" w:ascii="Times New Roman" w:hAnsi="Times New Roman"/>
          <w:sz w:val="20"/>
          <w:szCs w:val="20"/>
        </w:rPr>
        <w:t xml:space="preserve"> provides discussion on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RRM performance requirements</w:t>
      </w:r>
      <w:r>
        <w:rPr>
          <w:rFonts w:hint="eastAsia" w:ascii="Times New Roman" w:hAnsi="Times New Roman"/>
          <w:sz w:val="20"/>
          <w:szCs w:val="20"/>
        </w:rPr>
        <w:t xml:space="preserve"> for beam management. The proposals are:</w:t>
      </w:r>
    </w:p>
    <w:p w14:paraId="6B844133">
      <w:pPr>
        <w:spacing w:after="180" w:line="240" w:lineRule="exact"/>
        <w:rPr>
          <w:rFonts w:hint="eastAsia"/>
          <w:lang w:eastAsia="zh-CN"/>
        </w:rPr>
      </w:pPr>
      <w:r>
        <w:rPr>
          <w:rFonts w:hint="eastAsia" w:ascii="Times New Roman" w:hAnsi="Times New Roman" w:eastAsia="游明朝" w:cs="Times New Roman"/>
          <w:b/>
          <w:bCs/>
          <w:i/>
          <w:iCs/>
          <w:sz w:val="20"/>
          <w:szCs w:val="20"/>
          <w:lang w:val="en-US" w:eastAsia="zh-CN"/>
        </w:rPr>
        <w:t xml:space="preserve">Proposal 1: For RSRP accuracy for </w:t>
      </w:r>
      <w:r>
        <w:rPr>
          <w:rFonts w:hint="default" w:ascii="Times New Roman" w:hAnsi="Times New Roman" w:eastAsia="游明朝" w:cs="Times New Roman"/>
          <w:b/>
          <w:bCs/>
          <w:i/>
          <w:iCs/>
          <w:sz w:val="20"/>
          <w:szCs w:val="20"/>
          <w:lang w:eastAsia="zh-CN"/>
        </w:rPr>
        <w:t>AI/ML based beam management</w:t>
      </w:r>
      <w:r>
        <w:rPr>
          <w:rFonts w:hint="eastAsia" w:ascii="Times New Roman" w:hAnsi="Times New Roman" w:eastAsia="游明朝" w:cs="Times New Roman"/>
          <w:b/>
          <w:bCs/>
          <w:i/>
          <w:iCs/>
          <w:sz w:val="20"/>
          <w:szCs w:val="20"/>
          <w:lang w:val="en-US" w:eastAsia="zh-CN"/>
        </w:rPr>
        <w:t xml:space="preserve">, it is proposed that AI/ML based performance requirement should be no worse than the legacy measurement accuracy requirements.    </w:t>
      </w:r>
    </w:p>
    <w:p w14:paraId="1B61BFBD">
      <w:pPr>
        <w:spacing w:after="180" w:line="240" w:lineRule="exact"/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>2</w:t>
      </w:r>
      <w:r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>: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based on RAN1 agreements, the legacy </w:t>
      </w:r>
      <w:r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L1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</w:rPr>
        <w:t>report mapping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, i.e.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eastAsia="ko-KR"/>
        </w:rPr>
        <w:t>L1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part of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</w:rPr>
        <w:t>Table 10.1.6.1-1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and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</w:rPr>
        <w:t>Table 10.1.6.1-2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in TS38.133 can be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reused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for the report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mapping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of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predict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e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d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L1-RSRP, but some wording update is needed.</w:t>
      </w:r>
    </w:p>
    <w:p w14:paraId="68A5D763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31791BBB">
      <w:pPr>
        <w:pStyle w:val="12"/>
        <w:framePr w:wrap="auto" w:vAnchor="margin" w:hAnchor="text" w:yAlign="inline"/>
        <w:numPr>
          <w:ilvl w:val="0"/>
          <w:numId w:val="6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</w:t>
      </w:r>
      <w:r>
        <w:rPr>
          <w:rFonts w:hint="eastAsia" w:ascii="Times" w:hAnsi="Times" w:eastAsia="宋体"/>
          <w:b w:val="0"/>
          <w:sz w:val="20"/>
          <w:lang w:val="en-US" w:eastAsia="zh-CN"/>
        </w:rPr>
        <w:t>234039</w:t>
      </w:r>
      <w:r>
        <w:rPr>
          <w:rFonts w:ascii="Times" w:hAnsi="Times" w:eastAsia="宋体"/>
          <w:b w:val="0"/>
          <w:sz w:val="20"/>
          <w:lang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New WID on Artificial Intelligence (AI)/Machine Learning (ML) for NR Air Interface</w:t>
      </w:r>
    </w:p>
    <w:p w14:paraId="7EE3D56B">
      <w:pPr>
        <w:pStyle w:val="12"/>
        <w:framePr w:wrap="auto" w:vAnchor="margin" w:hAnchor="text" w:yAlign="inline"/>
        <w:numPr>
          <w:ilvl w:val="0"/>
          <w:numId w:val="6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243244, </w:t>
      </w:r>
      <w:r>
        <w:rPr>
          <w:rFonts w:hint="eastAsia" w:ascii="Times" w:hAnsi="Times" w:eastAsia="宋体"/>
          <w:b w:val="0"/>
          <w:sz w:val="20"/>
          <w:lang w:eastAsia="zh-CN"/>
        </w:rPr>
        <w:t>Revised WID on Artificial Intelligence (AI)/Machine Learning (ML) for NR Air Interface</w:t>
      </w:r>
    </w:p>
    <w:p w14:paraId="0BD789C2">
      <w:pPr>
        <w:pStyle w:val="12"/>
        <w:framePr w:wrap="auto" w:vAnchor="margin" w:hAnchor="text" w:yAlign="inline"/>
        <w:numPr>
          <w:ilvl w:val="0"/>
          <w:numId w:val="6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R4-2514631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[116bis][112] R19 AI for air interface</w:t>
      </w:r>
      <w:r>
        <w:rPr>
          <w:rFonts w:hint="eastAsia" w:ascii="Times" w:hAnsi="Times" w:eastAsia="宋体"/>
          <w:b w:val="0"/>
          <w:sz w:val="20"/>
          <w:lang w:eastAsia="zh-CN"/>
        </w:rPr>
        <w:t>, Qualcomm Incorporated</w:t>
      </w:r>
    </w:p>
    <w:p w14:paraId="0AE986A6">
      <w:pPr>
        <w:pStyle w:val="12"/>
        <w:framePr w:wrap="auto" w:vAnchor="margin" w:hAnchor="text" w:yAlign="inline"/>
        <w:numPr>
          <w:ilvl w:val="0"/>
          <w:numId w:val="6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R4-2511890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WF on AI/ML for air interface for [116][131], Qualcomm Incorporated</w:t>
      </w:r>
    </w:p>
    <w:p w14:paraId="3EF626A7">
      <w:pPr>
        <w:pStyle w:val="12"/>
        <w:framePr w:wrap="auto" w:vAnchor="margin" w:hAnchor="text" w:yAlign="inline"/>
        <w:numPr>
          <w:ilvl w:val="0"/>
          <w:numId w:val="6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R4-2508080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NR_AIML_air_part1, Qualcomm Incorporated</w:t>
      </w:r>
    </w:p>
    <w:p w14:paraId="416989A4">
      <w:pPr>
        <w:pStyle w:val="12"/>
        <w:framePr w:wrap="auto" w:vAnchor="margin" w:hAnchor="text" w:yAlign="inline"/>
        <w:numPr>
          <w:ilvl w:val="0"/>
          <w:numId w:val="6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R4-2505105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WF on requirements for AI/ML air interface normative work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Qualcomm Incorporated</w:t>
      </w:r>
    </w:p>
    <w:p w14:paraId="52A96E26">
      <w:pPr>
        <w:pStyle w:val="12"/>
        <w:framePr w:wrap="auto" w:vAnchor="margin" w:hAnchor="text" w:yAlign="inline"/>
        <w:numPr>
          <w:ilvl w:val="0"/>
          <w:numId w:val="6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502856, </w:t>
      </w:r>
      <w:r>
        <w:rPr>
          <w:rFonts w:hint="eastAsia" w:ascii="Times" w:hAnsi="Times" w:eastAsia="宋体"/>
          <w:b w:val="0"/>
          <w:sz w:val="20"/>
          <w:lang w:eastAsia="zh-CN"/>
        </w:rPr>
        <w:t>WF on the requirements for AI/ML air interfance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Qualcomm Incorporated</w:t>
      </w:r>
    </w:p>
    <w:p w14:paraId="3BA597AB">
      <w:pPr>
        <w:pStyle w:val="12"/>
        <w:framePr w:wrap="auto" w:vAnchor="margin" w:hAnchor="text" w:yAlign="inline"/>
        <w:numPr>
          <w:ilvl w:val="0"/>
          <w:numId w:val="6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R4-2420513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AI/ML air interface part 1, Qualcomm Incorporated</w:t>
      </w:r>
    </w:p>
    <w:p w14:paraId="2B1A7047">
      <w:pPr>
        <w:pStyle w:val="12"/>
        <w:framePr w:wrap="auto" w:vAnchor="margin" w:hAnchor="text" w:yAlign="inline"/>
        <w:numPr>
          <w:ilvl w:val="0"/>
          <w:numId w:val="6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R4-2417212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requirements for AI/ML air interface</w:t>
      </w:r>
      <w:r>
        <w:rPr>
          <w:rFonts w:hint="eastAsia" w:ascii="Times" w:hAnsi="Times" w:eastAsia="宋体"/>
          <w:b w:val="0"/>
          <w:sz w:val="20"/>
          <w:lang w:eastAsia="zh-CN"/>
        </w:rPr>
        <w:t>, Qualcomm Incorporated</w:t>
      </w:r>
    </w:p>
    <w:p w14:paraId="699BFAF0">
      <w:pPr>
        <w:pStyle w:val="12"/>
        <w:framePr w:wrap="auto" w:vAnchor="margin" w:hAnchor="text" w:yAlign="inline"/>
        <w:numPr>
          <w:ilvl w:val="0"/>
          <w:numId w:val="6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</w:t>
      </w:r>
      <w:r>
        <w:rPr>
          <w:rFonts w:hint="eastAsia" w:ascii="Times" w:hAnsi="Times" w:eastAsia="宋体"/>
          <w:b w:val="0"/>
          <w:sz w:val="20"/>
          <w:lang w:val="en-US" w:eastAsia="zh-CN"/>
        </w:rPr>
        <w:t>4323</w:t>
      </w:r>
      <w:r>
        <w:rPr>
          <w:rFonts w:hint="eastAsia" w:ascii="Times" w:hAnsi="Times" w:eastAsia="宋体"/>
          <w:b w:val="0"/>
          <w:sz w:val="20"/>
          <w:lang w:eastAsia="zh-CN"/>
        </w:rPr>
        <w:t>, WF on AI/ML, Qualcomm Incorporated</w:t>
      </w:r>
    </w:p>
    <w:p w14:paraId="618F8EC5">
      <w:pPr>
        <w:pStyle w:val="12"/>
        <w:framePr w:wrap="auto" w:vAnchor="margin" w:hAnchor="text" w:yAlign="inline"/>
        <w:numPr>
          <w:ilvl w:val="0"/>
          <w:numId w:val="6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R4-2410570, WF on AI/ML, Qualcomm Incorporated</w:t>
      </w:r>
    </w:p>
    <w:p w14:paraId="0DB10E1D">
      <w:pPr>
        <w:pStyle w:val="12"/>
        <w:framePr w:wrap="auto" w:vAnchor="margin" w:hAnchor="text" w:yAlign="inline"/>
        <w:numPr>
          <w:ilvl w:val="0"/>
          <w:numId w:val="6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R4-2406617, WF on AI/ML, Qualcomm Incorporated</w:t>
      </w:r>
    </w:p>
    <w:p w14:paraId="45973251">
      <w:pPr>
        <w:pStyle w:val="12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[5] 3GPP TR 38.843, Study on Artificial Intelligence (AI)/Machine Learning (ML) for NR air interface </w:t>
      </w:r>
    </w:p>
    <w:p w14:paraId="18CE6519">
      <w:pPr>
        <w:pStyle w:val="12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</w:p>
    <w:p w14:paraId="3E9138E2">
      <w:pPr>
        <w:pStyle w:val="12"/>
        <w:framePr w:wrap="auto" w:vAnchor="margin" w:hAnchor="text" w:yAlign="inline"/>
        <w:ind w:right="400"/>
        <w:jc w:val="both"/>
        <w:rPr>
          <w:rFonts w:hint="eastAsia" w:ascii="Times" w:hAnsi="Times" w:eastAsia="宋体"/>
          <w:b w:val="0"/>
          <w:sz w:val="20"/>
          <w:lang w:val="en-US" w:eastAsia="zh-CN"/>
        </w:rPr>
      </w:pPr>
    </w:p>
    <w:p w14:paraId="6F79A3B3"/>
    <w:sectPr>
      <w:pgSz w:w="11900" w:h="16840"/>
      <w:pgMar w:top="1440" w:right="985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游明朝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871401"/>
    <w:multiLevelType w:val="singleLevel"/>
    <w:tmpl w:val="F6871401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3AA46647"/>
    <w:multiLevelType w:val="multilevel"/>
    <w:tmpl w:val="3AA46647"/>
    <w:lvl w:ilvl="0" w:tentative="0">
      <w:start w:val="1"/>
      <w:numFmt w:val="decimal"/>
      <w:pStyle w:val="11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0523A95"/>
    <w:multiLevelType w:val="multilevel"/>
    <w:tmpl w:val="40523A9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5A40026E"/>
    <w:multiLevelType w:val="multilevel"/>
    <w:tmpl w:val="5A40026E"/>
    <w:lvl w:ilvl="0" w:tentative="0">
      <w:start w:val="0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hint="default" w:ascii="Wingdings" w:hAnsi="Wingdings"/>
      </w:rPr>
    </w:lvl>
  </w:abstractNum>
  <w:abstractNum w:abstractNumId="5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C7BC0"/>
    <w:rsid w:val="020874E3"/>
    <w:rsid w:val="02366D2D"/>
    <w:rsid w:val="02BB6F86"/>
    <w:rsid w:val="03315CCB"/>
    <w:rsid w:val="04B0587E"/>
    <w:rsid w:val="05FD1662"/>
    <w:rsid w:val="084A6C23"/>
    <w:rsid w:val="08C01BD2"/>
    <w:rsid w:val="0A12645E"/>
    <w:rsid w:val="0A7A49BE"/>
    <w:rsid w:val="0CFD51A3"/>
    <w:rsid w:val="0E2315D2"/>
    <w:rsid w:val="0E5D6521"/>
    <w:rsid w:val="0FDE2595"/>
    <w:rsid w:val="0FE50EF5"/>
    <w:rsid w:val="13156148"/>
    <w:rsid w:val="151A3F0B"/>
    <w:rsid w:val="15685863"/>
    <w:rsid w:val="15C5068C"/>
    <w:rsid w:val="15E51B78"/>
    <w:rsid w:val="17EE3251"/>
    <w:rsid w:val="1869036D"/>
    <w:rsid w:val="18C26AAD"/>
    <w:rsid w:val="19D35C0A"/>
    <w:rsid w:val="1A4B52AF"/>
    <w:rsid w:val="1B8C2C7D"/>
    <w:rsid w:val="1BDE38AF"/>
    <w:rsid w:val="1C79747B"/>
    <w:rsid w:val="1F0F3E4F"/>
    <w:rsid w:val="21C012D2"/>
    <w:rsid w:val="21CD1190"/>
    <w:rsid w:val="22C91E20"/>
    <w:rsid w:val="239448A4"/>
    <w:rsid w:val="24BB4727"/>
    <w:rsid w:val="259C54CD"/>
    <w:rsid w:val="27BB3844"/>
    <w:rsid w:val="295E6B72"/>
    <w:rsid w:val="308E7578"/>
    <w:rsid w:val="30EB604D"/>
    <w:rsid w:val="3159659D"/>
    <w:rsid w:val="3295408B"/>
    <w:rsid w:val="334D791B"/>
    <w:rsid w:val="35594C12"/>
    <w:rsid w:val="395A40C0"/>
    <w:rsid w:val="397B647A"/>
    <w:rsid w:val="39DC502A"/>
    <w:rsid w:val="3A692ADF"/>
    <w:rsid w:val="3ACA3C80"/>
    <w:rsid w:val="3ADD5C61"/>
    <w:rsid w:val="3CA05E05"/>
    <w:rsid w:val="3D0535AB"/>
    <w:rsid w:val="3D6D13E7"/>
    <w:rsid w:val="3DEB4836"/>
    <w:rsid w:val="3DEF01B7"/>
    <w:rsid w:val="3F9D1F6A"/>
    <w:rsid w:val="40905E46"/>
    <w:rsid w:val="41C815FA"/>
    <w:rsid w:val="4582291E"/>
    <w:rsid w:val="46A636F7"/>
    <w:rsid w:val="47F77D5E"/>
    <w:rsid w:val="48284AC3"/>
    <w:rsid w:val="49574F07"/>
    <w:rsid w:val="4B525B6F"/>
    <w:rsid w:val="4D3D03C8"/>
    <w:rsid w:val="4D85114F"/>
    <w:rsid w:val="4E834E5B"/>
    <w:rsid w:val="53DB4B28"/>
    <w:rsid w:val="549E0D64"/>
    <w:rsid w:val="578A062C"/>
    <w:rsid w:val="57B0086C"/>
    <w:rsid w:val="58150567"/>
    <w:rsid w:val="5879537F"/>
    <w:rsid w:val="5A715FC6"/>
    <w:rsid w:val="5CBC141D"/>
    <w:rsid w:val="5DE0757A"/>
    <w:rsid w:val="5DE63D68"/>
    <w:rsid w:val="5DEB6D2A"/>
    <w:rsid w:val="5E145FE7"/>
    <w:rsid w:val="5E2B562E"/>
    <w:rsid w:val="5ED80E84"/>
    <w:rsid w:val="62743F92"/>
    <w:rsid w:val="62A95749"/>
    <w:rsid w:val="63410A57"/>
    <w:rsid w:val="644D521F"/>
    <w:rsid w:val="65674A25"/>
    <w:rsid w:val="65E70DA3"/>
    <w:rsid w:val="69567192"/>
    <w:rsid w:val="6A52659E"/>
    <w:rsid w:val="6BE35B73"/>
    <w:rsid w:val="6C4934B7"/>
    <w:rsid w:val="6D092287"/>
    <w:rsid w:val="6D205895"/>
    <w:rsid w:val="6D7E0FF0"/>
    <w:rsid w:val="6DF758F9"/>
    <w:rsid w:val="6F156B86"/>
    <w:rsid w:val="731743ED"/>
    <w:rsid w:val="74126C56"/>
    <w:rsid w:val="75886832"/>
    <w:rsid w:val="75CC0EAF"/>
    <w:rsid w:val="76C44683"/>
    <w:rsid w:val="773771F4"/>
    <w:rsid w:val="79E72554"/>
    <w:rsid w:val="7AA34743"/>
    <w:rsid w:val="7AEB46F1"/>
    <w:rsid w:val="7C3F4164"/>
    <w:rsid w:val="7C6D39AE"/>
    <w:rsid w:val="7D28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0"/>
  </w:style>
  <w:style w:type="paragraph" w:styleId="5">
    <w:name w:val="Date"/>
    <w:basedOn w:val="1"/>
    <w:next w:val="1"/>
    <w:unhideWhenUsed/>
    <w:qFormat/>
    <w:uiPriority w:val="99"/>
    <w:pPr>
      <w:ind w:left="100" w:leftChars="2500"/>
    </w:pPr>
  </w:style>
  <w:style w:type="paragraph" w:styleId="6">
    <w:name w:val="header"/>
    <w:basedOn w:val="1"/>
    <w:qFormat/>
    <w:uiPriority w:val="0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eastAsia="MS Mincho"/>
      <w:kern w:val="0"/>
      <w:sz w:val="20"/>
      <w:szCs w:val="20"/>
      <w:lang w:eastAsia="en-US"/>
    </w:rPr>
  </w:style>
  <w:style w:type="table" w:styleId="8">
    <w:name w:val="Table Grid"/>
    <w:basedOn w:val="7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/>
      <w:kern w:val="0"/>
    </w:rPr>
  </w:style>
  <w:style w:type="paragraph" w:customStyle="1" w:styleId="11">
    <w:name w:val="Proposal"/>
    <w:basedOn w:val="4"/>
    <w:qFormat/>
    <w:uiPriority w:val="0"/>
    <w:pPr>
      <w:numPr>
        <w:ilvl w:val="0"/>
        <w:numId w:val="2"/>
      </w:numPr>
      <w:tabs>
        <w:tab w:val="left" w:pos="1701"/>
      </w:tabs>
      <w:spacing w:after="120" w:line="259" w:lineRule="auto"/>
      <w:jc w:val="both"/>
    </w:pPr>
    <w:rPr>
      <w:rFonts w:ascii="Arial" w:hAnsi="Arial" w:eastAsia="Calibri" w:cs="Times New Roman"/>
      <w:b/>
      <w:bCs/>
      <w:szCs w:val="22"/>
      <w:lang w:val="en-US" w:eastAsia="zh-CN"/>
    </w:rPr>
  </w:style>
  <w:style w:type="paragraph" w:customStyle="1" w:styleId="1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4">
    <w:name w:val="TAH"/>
    <w:basedOn w:val="15"/>
    <w:qFormat/>
    <w:uiPriority w:val="0"/>
    <w:rPr>
      <w:b/>
    </w:rPr>
  </w:style>
  <w:style w:type="paragraph" w:customStyle="1" w:styleId="15">
    <w:name w:val="TAC"/>
    <w:basedOn w:val="16"/>
    <w:qFormat/>
    <w:uiPriority w:val="0"/>
    <w:pPr>
      <w:jc w:val="center"/>
    </w:pPr>
  </w:style>
  <w:style w:type="paragraph" w:customStyle="1" w:styleId="1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7">
    <w:name w:val="TAN"/>
    <w:basedOn w:val="16"/>
    <w:qFormat/>
    <w:uiPriority w:val="0"/>
    <w:pPr>
      <w:ind w:left="851" w:hanging="851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2024-11-06T09:33:00Z</dcterms:created>
  <dc:creator>cmcc</dc:creator>
  <cp:lastModifiedBy>CMCC-Jingjing</cp:lastModifiedBy>
  <dcterms:modified xsi:type="dcterms:W3CDTF">2025-11-07T08:20:30Z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6869B0C1A34749A384ADE3AAD7A61322</vt:lpwstr>
  </property>
</Properties>
</file>